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6F56" w14:textId="77777777" w:rsidR="00BE3FC6" w:rsidRPr="00144A5A" w:rsidRDefault="00D4452E" w:rsidP="00BB2A63">
      <w:pPr>
        <w:ind w:left="6480"/>
        <w:jc w:val="right"/>
        <w:rPr>
          <w:rFonts w:asciiTheme="minorHAnsi" w:hAnsiTheme="minorHAnsi" w:cstheme="minorHAnsi"/>
        </w:rPr>
      </w:pPr>
      <w:r w:rsidRPr="00144A5A">
        <w:rPr>
          <w:rFonts w:asciiTheme="minorHAnsi" w:hAnsiTheme="minorHAnsi" w:cstheme="minorHAnsi"/>
        </w:rPr>
        <w:t xml:space="preserve"> </w:t>
      </w:r>
      <w:r w:rsidR="00BE3FC6" w:rsidRPr="00144A5A">
        <w:rPr>
          <w:rFonts w:asciiTheme="minorHAnsi" w:hAnsiTheme="minorHAnsi" w:cstheme="minorHAnsi"/>
        </w:rPr>
        <w:t xml:space="preserve">Effective Date: </w:t>
      </w:r>
    </w:p>
    <w:p w14:paraId="790536F7" w14:textId="77777777" w:rsidR="000E2171" w:rsidRPr="00144A5A" w:rsidRDefault="00BE3FC6" w:rsidP="00BB2A63">
      <w:pPr>
        <w:jc w:val="right"/>
        <w:rPr>
          <w:rFonts w:asciiTheme="minorHAnsi" w:hAnsiTheme="minorHAnsi" w:cstheme="minorHAnsi"/>
        </w:rPr>
      </w:pPr>
      <w:r w:rsidRPr="00144A5A">
        <w:rPr>
          <w:rFonts w:asciiTheme="minorHAnsi" w:hAnsiTheme="minorHAnsi" w:cstheme="minorHAnsi"/>
        </w:rPr>
        <w:t>Revision Date</w:t>
      </w:r>
      <w:r w:rsidR="00056A0A" w:rsidRPr="00144A5A">
        <w:rPr>
          <w:rFonts w:asciiTheme="minorHAnsi" w:hAnsiTheme="minorHAnsi" w:cstheme="minorHAnsi"/>
        </w:rPr>
        <w:t xml:space="preserve">: </w:t>
      </w:r>
    </w:p>
    <w:p w14:paraId="581AA454" w14:textId="77777777" w:rsidR="00BE3FC6" w:rsidRPr="00144A5A" w:rsidRDefault="000E2171" w:rsidP="00BB2A63">
      <w:pPr>
        <w:jc w:val="right"/>
        <w:rPr>
          <w:rFonts w:asciiTheme="minorHAnsi" w:hAnsiTheme="minorHAnsi" w:cstheme="minorHAnsi"/>
        </w:rPr>
      </w:pPr>
      <w:r w:rsidRPr="00144A5A">
        <w:rPr>
          <w:rFonts w:asciiTheme="minorHAnsi" w:hAnsiTheme="minorHAnsi" w:cstheme="minorHAnsi"/>
        </w:rPr>
        <w:t xml:space="preserve">Approved Date: </w:t>
      </w:r>
    </w:p>
    <w:p w14:paraId="111F1B70" w14:textId="77777777" w:rsidR="00BE3FC6" w:rsidRPr="00144A5A" w:rsidRDefault="00D4452E" w:rsidP="00BB2A63">
      <w:pPr>
        <w:ind w:left="5760" w:firstLine="720"/>
        <w:jc w:val="right"/>
        <w:rPr>
          <w:rFonts w:asciiTheme="minorHAnsi" w:hAnsiTheme="minorHAnsi" w:cstheme="minorHAnsi"/>
        </w:rPr>
      </w:pPr>
      <w:r w:rsidRPr="00144A5A">
        <w:rPr>
          <w:rFonts w:asciiTheme="minorHAnsi" w:hAnsiTheme="minorHAnsi" w:cstheme="minorHAnsi"/>
        </w:rPr>
        <w:t xml:space="preserve">    </w:t>
      </w:r>
      <w:r w:rsidR="00BE3FC6" w:rsidRPr="00144A5A">
        <w:rPr>
          <w:rFonts w:asciiTheme="minorHAnsi" w:hAnsiTheme="minorHAnsi" w:cstheme="minorHAnsi"/>
        </w:rPr>
        <w:t>Review Date:</w:t>
      </w:r>
      <w:r w:rsidR="000E2171" w:rsidRPr="00144A5A">
        <w:rPr>
          <w:rFonts w:asciiTheme="minorHAnsi" w:hAnsiTheme="minorHAnsi" w:cstheme="minorHAnsi"/>
        </w:rPr>
        <w:t xml:space="preserve"> </w:t>
      </w:r>
    </w:p>
    <w:p w14:paraId="716C40E5" w14:textId="77777777" w:rsidR="00BE3FC6" w:rsidRPr="00144A5A" w:rsidRDefault="00E5604B" w:rsidP="00E5604B">
      <w:pPr>
        <w:pStyle w:val="NoSpacing"/>
        <w:jc w:val="center"/>
        <w:rPr>
          <w:rFonts w:asciiTheme="minorHAnsi" w:hAnsiTheme="minorHAnsi" w:cstheme="minorHAnsi"/>
          <w:b/>
          <w:sz w:val="32"/>
          <w:szCs w:val="32"/>
          <w:u w:val="single"/>
        </w:rPr>
      </w:pPr>
      <w:r w:rsidRPr="00144A5A">
        <w:rPr>
          <w:rFonts w:asciiTheme="minorHAnsi" w:hAnsiTheme="minorHAnsi" w:cstheme="minorHAnsi"/>
          <w:b/>
          <w:sz w:val="32"/>
          <w:szCs w:val="32"/>
          <w:u w:val="single"/>
        </w:rPr>
        <w:t>Investment Policy Template</w:t>
      </w:r>
    </w:p>
    <w:p w14:paraId="61028DA5" w14:textId="77777777" w:rsidR="00E5604B" w:rsidRPr="00144A5A" w:rsidRDefault="00E5604B" w:rsidP="00E5604B">
      <w:pPr>
        <w:rPr>
          <w:rFonts w:asciiTheme="minorHAnsi" w:eastAsia="Arial Unicode MS" w:hAnsiTheme="minorHAnsi" w:cstheme="minorHAnsi"/>
          <w:b/>
          <w:bCs/>
          <w:sz w:val="28"/>
        </w:rPr>
      </w:pPr>
    </w:p>
    <w:p w14:paraId="3A00E7E8" w14:textId="45CE1712" w:rsidR="00E5604B" w:rsidRPr="00144A5A" w:rsidRDefault="00E5604B" w:rsidP="00E5604B">
      <w:pPr>
        <w:pStyle w:val="NoSpacing"/>
        <w:rPr>
          <w:rFonts w:asciiTheme="minorHAnsi" w:hAnsiTheme="minorHAnsi" w:cstheme="minorHAnsi"/>
          <w:color w:val="0070C0"/>
        </w:rPr>
      </w:pPr>
      <w:r w:rsidRPr="00144A5A">
        <w:rPr>
          <w:rFonts w:asciiTheme="minorHAnsi" w:hAnsiTheme="minorHAnsi" w:cstheme="minorHAnsi"/>
          <w:color w:val="0070C0"/>
        </w:rPr>
        <w:t xml:space="preserve">Any organization that has assets to invest should have appropriate policies to guide these investments. A formal investment policy should be developed and approved by the affiliate board of directors. One set of policies does not fit every </w:t>
      </w:r>
      <w:r w:rsidR="00144A5A" w:rsidRPr="00144A5A">
        <w:rPr>
          <w:rFonts w:asciiTheme="minorHAnsi" w:hAnsiTheme="minorHAnsi" w:cstheme="minorHAnsi"/>
          <w:color w:val="0070C0"/>
        </w:rPr>
        <w:t>organization,</w:t>
      </w:r>
      <w:r w:rsidRPr="00144A5A">
        <w:rPr>
          <w:rFonts w:asciiTheme="minorHAnsi" w:hAnsiTheme="minorHAnsi" w:cstheme="minorHAnsi"/>
          <w:color w:val="0070C0"/>
        </w:rPr>
        <w:t xml:space="preserve"> but each association needs to define its own goals and understand its own fiduciary responsibilities. </w:t>
      </w:r>
      <w:r w:rsidR="00C320A2">
        <w:rPr>
          <w:rFonts w:asciiTheme="minorHAnsi" w:hAnsiTheme="minorHAnsi" w:cstheme="minorHAnsi"/>
          <w:color w:val="0070C0"/>
        </w:rPr>
        <w:t>The policy below is the Academy’s Investment Policy that can be adapted to fit the specific needs of your affiliate.</w:t>
      </w:r>
    </w:p>
    <w:p w14:paraId="4FCD7783" w14:textId="77777777" w:rsidR="00E5604B" w:rsidRPr="00144A5A" w:rsidRDefault="00E5604B" w:rsidP="00E5604B">
      <w:pPr>
        <w:pStyle w:val="NoSpacing"/>
        <w:rPr>
          <w:rFonts w:asciiTheme="minorHAnsi" w:hAnsiTheme="minorHAnsi" w:cstheme="minorHAnsi"/>
          <w:color w:val="0070C0"/>
        </w:rPr>
      </w:pPr>
    </w:p>
    <w:p w14:paraId="186EBA54" w14:textId="77777777" w:rsidR="00E5604B" w:rsidRPr="00144A5A" w:rsidRDefault="00E5604B" w:rsidP="00E5604B">
      <w:pPr>
        <w:pStyle w:val="NoSpacing"/>
        <w:rPr>
          <w:rFonts w:asciiTheme="minorHAnsi" w:hAnsiTheme="minorHAnsi" w:cstheme="minorHAnsi"/>
          <w:color w:val="0070C0"/>
        </w:rPr>
      </w:pPr>
      <w:r w:rsidRPr="00144A5A">
        <w:rPr>
          <w:rFonts w:asciiTheme="minorHAnsi" w:hAnsiTheme="minorHAnsi" w:cstheme="minorHAnsi"/>
          <w:color w:val="0070C0"/>
        </w:rPr>
        <w:t>When choosing investment options for excess cash, affiliates should consider three key factors: risk, yield, and the liquidity of funds.</w:t>
      </w:r>
    </w:p>
    <w:p w14:paraId="6AEEE4E8" w14:textId="77777777" w:rsidR="00E5604B" w:rsidRPr="00144A5A" w:rsidRDefault="00E5604B" w:rsidP="00E5604B">
      <w:pPr>
        <w:pStyle w:val="NoSpacing"/>
        <w:rPr>
          <w:rFonts w:asciiTheme="minorHAnsi" w:hAnsiTheme="minorHAnsi" w:cstheme="minorHAnsi"/>
          <w:color w:val="0070C0"/>
        </w:rPr>
      </w:pPr>
    </w:p>
    <w:p w14:paraId="69D0818E" w14:textId="77777777" w:rsidR="00E5604B" w:rsidRPr="00144A5A" w:rsidRDefault="00E5604B" w:rsidP="00E5604B">
      <w:pPr>
        <w:pStyle w:val="NoSpacing"/>
        <w:rPr>
          <w:rFonts w:asciiTheme="minorHAnsi" w:hAnsiTheme="minorHAnsi" w:cstheme="minorHAnsi"/>
          <w:color w:val="0070C0"/>
        </w:rPr>
      </w:pPr>
      <w:r w:rsidRPr="00144A5A">
        <w:rPr>
          <w:rFonts w:asciiTheme="minorHAnsi" w:hAnsiTheme="minorHAnsi" w:cstheme="minorHAnsi"/>
          <w:color w:val="0070C0"/>
        </w:rPr>
        <w:t>Here is a list of the basic points to cover. Any investment policies should:</w:t>
      </w:r>
    </w:p>
    <w:p w14:paraId="7F07065D" w14:textId="77777777" w:rsidR="00E5604B" w:rsidRPr="00144A5A" w:rsidRDefault="00E5604B" w:rsidP="00E5604B">
      <w:pPr>
        <w:pStyle w:val="NoSpacing"/>
        <w:numPr>
          <w:ilvl w:val="0"/>
          <w:numId w:val="9"/>
        </w:numPr>
        <w:rPr>
          <w:rFonts w:asciiTheme="minorHAnsi" w:hAnsiTheme="minorHAnsi" w:cstheme="minorHAnsi"/>
          <w:color w:val="0070C0"/>
          <w:szCs w:val="18"/>
        </w:rPr>
      </w:pPr>
      <w:r w:rsidRPr="00144A5A">
        <w:rPr>
          <w:rFonts w:asciiTheme="minorHAnsi" w:hAnsiTheme="minorHAnsi" w:cstheme="minorHAnsi"/>
          <w:color w:val="0070C0"/>
          <w:szCs w:val="18"/>
        </w:rPr>
        <w:t>Be developed with the advice of a financial professional or be reviewed by legal counsel.</w:t>
      </w:r>
    </w:p>
    <w:p w14:paraId="4B8C1F90" w14:textId="77777777" w:rsidR="00E5604B" w:rsidRPr="00144A5A" w:rsidRDefault="00E5604B" w:rsidP="00E5604B">
      <w:pPr>
        <w:pStyle w:val="NoSpacing"/>
        <w:numPr>
          <w:ilvl w:val="0"/>
          <w:numId w:val="9"/>
        </w:numPr>
        <w:rPr>
          <w:rFonts w:asciiTheme="minorHAnsi" w:hAnsiTheme="minorHAnsi" w:cstheme="minorHAnsi"/>
          <w:color w:val="0070C0"/>
          <w:szCs w:val="18"/>
        </w:rPr>
      </w:pPr>
      <w:r w:rsidRPr="00144A5A">
        <w:rPr>
          <w:rFonts w:asciiTheme="minorHAnsi" w:hAnsiTheme="minorHAnsi" w:cstheme="minorHAnsi"/>
          <w:color w:val="0070C0"/>
          <w:szCs w:val="18"/>
        </w:rPr>
        <w:t>Define general objectives (preserve and protect the assets; achieve aggressive growth).</w:t>
      </w:r>
    </w:p>
    <w:p w14:paraId="59A3A1DD" w14:textId="77777777" w:rsidR="00E5604B" w:rsidRPr="00144A5A" w:rsidRDefault="00E5604B" w:rsidP="00E5604B">
      <w:pPr>
        <w:pStyle w:val="NoSpacing"/>
        <w:numPr>
          <w:ilvl w:val="0"/>
          <w:numId w:val="9"/>
        </w:numPr>
        <w:rPr>
          <w:rFonts w:asciiTheme="minorHAnsi" w:hAnsiTheme="minorHAnsi" w:cstheme="minorHAnsi"/>
          <w:color w:val="0070C0"/>
          <w:szCs w:val="18"/>
        </w:rPr>
      </w:pPr>
      <w:r w:rsidRPr="00144A5A">
        <w:rPr>
          <w:rFonts w:asciiTheme="minorHAnsi" w:hAnsiTheme="minorHAnsi" w:cstheme="minorHAnsi"/>
          <w:color w:val="0070C0"/>
          <w:szCs w:val="18"/>
        </w:rPr>
        <w:t>Delegate day-to-day asset management to a finance committee or a professional manager.</w:t>
      </w:r>
    </w:p>
    <w:p w14:paraId="75859138" w14:textId="77777777" w:rsidR="00E5604B" w:rsidRPr="00144A5A" w:rsidRDefault="00E5604B" w:rsidP="00E5604B">
      <w:pPr>
        <w:pStyle w:val="NoSpacing"/>
        <w:numPr>
          <w:ilvl w:val="0"/>
          <w:numId w:val="9"/>
        </w:numPr>
        <w:rPr>
          <w:rFonts w:asciiTheme="minorHAnsi" w:hAnsiTheme="minorHAnsi" w:cstheme="minorHAnsi"/>
          <w:color w:val="0070C0"/>
          <w:szCs w:val="18"/>
        </w:rPr>
      </w:pPr>
      <w:r w:rsidRPr="00144A5A">
        <w:rPr>
          <w:rFonts w:asciiTheme="minorHAnsi" w:hAnsiTheme="minorHAnsi" w:cstheme="minorHAnsi"/>
          <w:color w:val="0070C0"/>
          <w:szCs w:val="18"/>
        </w:rPr>
        <w:t>Set asset allocation parameters (include diversification).</w:t>
      </w:r>
    </w:p>
    <w:p w14:paraId="20210DCD" w14:textId="77777777" w:rsidR="00E5604B" w:rsidRPr="00144A5A" w:rsidRDefault="00E5604B" w:rsidP="00E5604B">
      <w:pPr>
        <w:pStyle w:val="NoSpacing"/>
        <w:numPr>
          <w:ilvl w:val="0"/>
          <w:numId w:val="9"/>
        </w:numPr>
        <w:rPr>
          <w:rFonts w:asciiTheme="minorHAnsi" w:hAnsiTheme="minorHAnsi" w:cstheme="minorHAnsi"/>
          <w:color w:val="0070C0"/>
          <w:szCs w:val="18"/>
        </w:rPr>
      </w:pPr>
      <w:r w:rsidRPr="00144A5A">
        <w:rPr>
          <w:rFonts w:asciiTheme="minorHAnsi" w:hAnsiTheme="minorHAnsi" w:cstheme="minorHAnsi"/>
          <w:color w:val="0070C0"/>
          <w:szCs w:val="18"/>
        </w:rPr>
        <w:t>Describe asset quality (itemize quality ratings for stocks, bonds, or short-term reserves based on your risk tolerance).</w:t>
      </w:r>
    </w:p>
    <w:p w14:paraId="2F1B4013" w14:textId="77777777" w:rsidR="00E5604B" w:rsidRPr="00144A5A" w:rsidRDefault="00E5604B" w:rsidP="00E5604B">
      <w:pPr>
        <w:pStyle w:val="NoSpacing"/>
        <w:numPr>
          <w:ilvl w:val="0"/>
          <w:numId w:val="9"/>
        </w:numPr>
        <w:rPr>
          <w:rFonts w:asciiTheme="minorHAnsi" w:hAnsiTheme="minorHAnsi" w:cstheme="minorHAnsi"/>
          <w:color w:val="0070C0"/>
          <w:szCs w:val="18"/>
        </w:rPr>
      </w:pPr>
      <w:r w:rsidRPr="00144A5A">
        <w:rPr>
          <w:rFonts w:asciiTheme="minorHAnsi" w:hAnsiTheme="minorHAnsi" w:cstheme="minorHAnsi"/>
          <w:color w:val="0070C0"/>
          <w:szCs w:val="18"/>
        </w:rPr>
        <w:t>Define investment manager's accountability (include risk in transactions, social responsibility, reporting requirements, and coverage of cash flow needs).</w:t>
      </w:r>
    </w:p>
    <w:p w14:paraId="4375E122" w14:textId="77777777" w:rsidR="00E5604B" w:rsidRPr="00144A5A" w:rsidRDefault="00E5604B" w:rsidP="00E5604B">
      <w:pPr>
        <w:pStyle w:val="NoSpacing"/>
        <w:numPr>
          <w:ilvl w:val="0"/>
          <w:numId w:val="9"/>
        </w:numPr>
        <w:rPr>
          <w:rFonts w:asciiTheme="minorHAnsi" w:hAnsiTheme="minorHAnsi" w:cstheme="minorHAnsi"/>
          <w:color w:val="0070C0"/>
        </w:rPr>
      </w:pPr>
      <w:r w:rsidRPr="00144A5A">
        <w:rPr>
          <w:rFonts w:asciiTheme="minorHAnsi" w:hAnsiTheme="minorHAnsi" w:cstheme="minorHAnsi"/>
          <w:color w:val="0070C0"/>
          <w:szCs w:val="18"/>
        </w:rPr>
        <w:t>Establish a system for regular reviewing of the policies.</w:t>
      </w:r>
    </w:p>
    <w:p w14:paraId="1C4AB317" w14:textId="77777777" w:rsidR="00E5604B" w:rsidRPr="00144A5A" w:rsidRDefault="00E5604B" w:rsidP="00227E56">
      <w:pPr>
        <w:rPr>
          <w:rFonts w:asciiTheme="minorHAnsi" w:hAnsiTheme="minorHAnsi" w:cstheme="minorHAnsi"/>
        </w:rPr>
      </w:pPr>
    </w:p>
    <w:p w14:paraId="78C535BF" w14:textId="77777777" w:rsidR="00227E56" w:rsidRPr="00144A5A" w:rsidRDefault="00227E56" w:rsidP="00227E56">
      <w:pPr>
        <w:rPr>
          <w:rFonts w:asciiTheme="minorHAnsi" w:hAnsiTheme="minorHAnsi" w:cstheme="minorHAnsi"/>
        </w:rPr>
      </w:pPr>
      <w:r w:rsidRPr="00144A5A">
        <w:rPr>
          <w:rFonts w:asciiTheme="minorHAnsi" w:hAnsiTheme="minorHAnsi" w:cstheme="minorHAnsi"/>
        </w:rPr>
        <w:t xml:space="preserve">The purpose of the </w:t>
      </w:r>
      <w:r w:rsidR="00E5604B" w:rsidRPr="00144A5A">
        <w:rPr>
          <w:rFonts w:asciiTheme="minorHAnsi" w:hAnsiTheme="minorHAnsi" w:cstheme="minorHAnsi"/>
        </w:rPr>
        <w:t>&lt;affiliate&gt;</w:t>
      </w:r>
      <w:r w:rsidRPr="00144A5A">
        <w:rPr>
          <w:rFonts w:asciiTheme="minorHAnsi" w:hAnsiTheme="minorHAnsi" w:cstheme="minorHAnsi"/>
        </w:rPr>
        <w:t xml:space="preserve"> Investment Fund is to provide financial stability for the organization, and to grow, on an inflation adjusted basis, its ability to support the programs and objectives of the </w:t>
      </w:r>
      <w:r w:rsidR="00E5604B" w:rsidRPr="00144A5A">
        <w:rPr>
          <w:rFonts w:asciiTheme="minorHAnsi" w:hAnsiTheme="minorHAnsi" w:cstheme="minorHAnsi"/>
        </w:rPr>
        <w:t>&lt;affiliate&gt;</w:t>
      </w:r>
      <w:r w:rsidRPr="00144A5A">
        <w:rPr>
          <w:rFonts w:asciiTheme="minorHAnsi" w:hAnsiTheme="minorHAnsi" w:cstheme="minorHAnsi"/>
        </w:rPr>
        <w:t xml:space="preserve">. </w:t>
      </w:r>
    </w:p>
    <w:p w14:paraId="40ABC9A9" w14:textId="77777777" w:rsidR="00227E56" w:rsidRPr="00144A5A" w:rsidRDefault="00227E56" w:rsidP="00227E56">
      <w:pPr>
        <w:rPr>
          <w:rFonts w:asciiTheme="minorHAnsi" w:hAnsiTheme="minorHAnsi" w:cstheme="minorHAnsi"/>
        </w:rPr>
      </w:pPr>
    </w:p>
    <w:p w14:paraId="19643A2E" w14:textId="77777777" w:rsidR="00227E56" w:rsidRPr="00144A5A" w:rsidRDefault="00227E56" w:rsidP="00227E56">
      <w:pPr>
        <w:pStyle w:val="Heading2"/>
        <w:jc w:val="left"/>
        <w:rPr>
          <w:rFonts w:asciiTheme="minorHAnsi" w:hAnsiTheme="minorHAnsi" w:cstheme="minorHAnsi"/>
          <w:u w:val="none"/>
        </w:rPr>
      </w:pPr>
      <w:r w:rsidRPr="00144A5A">
        <w:rPr>
          <w:rFonts w:asciiTheme="minorHAnsi" w:hAnsiTheme="minorHAnsi" w:cstheme="minorHAnsi"/>
          <w:u w:val="none"/>
        </w:rPr>
        <w:t>OBJECTIVES:</w:t>
      </w:r>
    </w:p>
    <w:p w14:paraId="1A7C8492" w14:textId="77777777" w:rsidR="00144A5A" w:rsidRPr="00144A5A" w:rsidRDefault="00144A5A" w:rsidP="00144A5A">
      <w:pPr>
        <w:rPr>
          <w:rFonts w:asciiTheme="minorHAnsi" w:hAnsiTheme="minorHAnsi" w:cstheme="minorHAnsi"/>
        </w:rPr>
      </w:pPr>
    </w:p>
    <w:p w14:paraId="35F694BB" w14:textId="0E57F2C5" w:rsidR="00144A5A" w:rsidRPr="00144A5A" w:rsidRDefault="00144A5A" w:rsidP="00144A5A">
      <w:pPr>
        <w:rPr>
          <w:rFonts w:asciiTheme="minorHAnsi" w:hAnsiTheme="minorHAnsi" w:cstheme="minorHAnsi"/>
        </w:rPr>
      </w:pPr>
      <w:r w:rsidRPr="00144A5A">
        <w:rPr>
          <w:rFonts w:asciiTheme="minorHAnsi" w:hAnsiTheme="minorHAnsi" w:cstheme="minorHAnsi"/>
        </w:rPr>
        <w:t xml:space="preserve">The investment objectives of the portfolio are to achieve a long-term goal of maximizing returns without exposure to undue risk, as defined herein. It is understood that fluctuating rates of return are characteristic of the securities markets. The primary concern should be long-term appreciation of the assets and consistency of total return. Recognizing that short-term market fluctuations may cause variations in performance, the portfolio is expected to achieve the following objectives over </w:t>
      </w:r>
      <w:proofErr w:type="gramStart"/>
      <w:r w:rsidRPr="00144A5A">
        <w:rPr>
          <w:rFonts w:asciiTheme="minorHAnsi" w:hAnsiTheme="minorHAnsi" w:cstheme="minorHAnsi"/>
        </w:rPr>
        <w:t>three and five year</w:t>
      </w:r>
      <w:proofErr w:type="gramEnd"/>
      <w:r w:rsidRPr="00144A5A">
        <w:rPr>
          <w:rFonts w:asciiTheme="minorHAnsi" w:hAnsiTheme="minorHAnsi" w:cstheme="minorHAnsi"/>
        </w:rPr>
        <w:t xml:space="preserve"> moving time periods: </w:t>
      </w:r>
    </w:p>
    <w:p w14:paraId="19A10011" w14:textId="5F093240" w:rsidR="00144A5A" w:rsidRDefault="00144A5A" w:rsidP="00144A5A">
      <w:pPr>
        <w:numPr>
          <w:ilvl w:val="0"/>
          <w:numId w:val="10"/>
        </w:numPr>
        <w:rPr>
          <w:rFonts w:asciiTheme="minorHAnsi" w:hAnsiTheme="minorHAnsi" w:cstheme="minorHAnsi"/>
        </w:rPr>
      </w:pPr>
      <w:r w:rsidRPr="00144A5A">
        <w:rPr>
          <w:rFonts w:asciiTheme="minorHAnsi" w:hAnsiTheme="minorHAnsi" w:cstheme="minorHAnsi"/>
        </w:rPr>
        <w:t xml:space="preserve">The Fund’s total expected return will exceed the increase in the Consumer Price Index by 3.75% annually. On a </w:t>
      </w:r>
      <w:proofErr w:type="gramStart"/>
      <w:r w:rsidRPr="00144A5A">
        <w:rPr>
          <w:rFonts w:asciiTheme="minorHAnsi" w:hAnsiTheme="minorHAnsi" w:cstheme="minorHAnsi"/>
        </w:rPr>
        <w:t>quarter to quarter</w:t>
      </w:r>
      <w:proofErr w:type="gramEnd"/>
      <w:r w:rsidRPr="00144A5A">
        <w:rPr>
          <w:rFonts w:asciiTheme="minorHAnsi" w:hAnsiTheme="minorHAnsi" w:cstheme="minorHAnsi"/>
        </w:rPr>
        <w:t xml:space="preserve"> basis, the actual returns will fluctuate and can be expected to exceed the target about half the time. </w:t>
      </w:r>
    </w:p>
    <w:p w14:paraId="7ED9B469" w14:textId="77777777" w:rsidR="00C320A2" w:rsidRDefault="00C320A2" w:rsidP="00C320A2">
      <w:pPr>
        <w:ind w:left="720"/>
        <w:rPr>
          <w:rFonts w:asciiTheme="minorHAnsi" w:hAnsiTheme="minorHAnsi" w:cstheme="minorHAnsi"/>
        </w:rPr>
      </w:pPr>
    </w:p>
    <w:p w14:paraId="41DD46C5" w14:textId="4DD39C06" w:rsidR="00144A5A" w:rsidRDefault="00144A5A" w:rsidP="00144A5A">
      <w:pPr>
        <w:numPr>
          <w:ilvl w:val="0"/>
          <w:numId w:val="10"/>
        </w:numPr>
        <w:rPr>
          <w:rFonts w:asciiTheme="minorHAnsi" w:hAnsiTheme="minorHAnsi" w:cstheme="minorHAnsi"/>
        </w:rPr>
      </w:pPr>
      <w:r w:rsidRPr="00144A5A">
        <w:rPr>
          <w:rFonts w:asciiTheme="minorHAnsi" w:hAnsiTheme="minorHAnsi" w:cstheme="minorHAnsi"/>
        </w:rPr>
        <w:t xml:space="preserve">The Fund’s total expected return will exceed the increase in the </w:t>
      </w:r>
      <w:proofErr w:type="gramStart"/>
      <w:r w:rsidRPr="00144A5A">
        <w:rPr>
          <w:rFonts w:asciiTheme="minorHAnsi" w:hAnsiTheme="minorHAnsi" w:cstheme="minorHAnsi"/>
        </w:rPr>
        <w:t>90 day</w:t>
      </w:r>
      <w:proofErr w:type="gramEnd"/>
      <w:r w:rsidRPr="00144A5A">
        <w:rPr>
          <w:rFonts w:asciiTheme="minorHAnsi" w:hAnsiTheme="minorHAnsi" w:cstheme="minorHAnsi"/>
        </w:rPr>
        <w:t xml:space="preserve"> Treasury Bill Index by a minimum of 3.0% annually. On a </w:t>
      </w:r>
      <w:proofErr w:type="gramStart"/>
      <w:r w:rsidRPr="00144A5A">
        <w:rPr>
          <w:rFonts w:asciiTheme="minorHAnsi" w:hAnsiTheme="minorHAnsi" w:cstheme="minorHAnsi"/>
        </w:rPr>
        <w:t>quarter to quarter</w:t>
      </w:r>
      <w:proofErr w:type="gramEnd"/>
      <w:r w:rsidRPr="00144A5A">
        <w:rPr>
          <w:rFonts w:asciiTheme="minorHAnsi" w:hAnsiTheme="minorHAnsi" w:cstheme="minorHAnsi"/>
        </w:rPr>
        <w:t xml:space="preserve"> basis, the actual returns will fluctuate and can be expected to exceed the target about half the time. </w:t>
      </w:r>
    </w:p>
    <w:p w14:paraId="32793204" w14:textId="77777777" w:rsidR="00C320A2" w:rsidRDefault="00C320A2" w:rsidP="00C320A2">
      <w:pPr>
        <w:pStyle w:val="ListParagraph"/>
        <w:rPr>
          <w:rFonts w:asciiTheme="minorHAnsi" w:hAnsiTheme="minorHAnsi" w:cstheme="minorHAnsi"/>
        </w:rPr>
      </w:pPr>
    </w:p>
    <w:p w14:paraId="4A156965" w14:textId="77777777" w:rsidR="00C320A2" w:rsidRDefault="00C320A2" w:rsidP="00C320A2">
      <w:pPr>
        <w:ind w:left="720"/>
        <w:rPr>
          <w:rFonts w:asciiTheme="minorHAnsi" w:hAnsiTheme="minorHAnsi" w:cstheme="minorHAnsi"/>
        </w:rPr>
      </w:pPr>
    </w:p>
    <w:p w14:paraId="79160893" w14:textId="3C8828AB" w:rsidR="00144A5A" w:rsidRDefault="00144A5A" w:rsidP="00144A5A">
      <w:pPr>
        <w:numPr>
          <w:ilvl w:val="0"/>
          <w:numId w:val="10"/>
        </w:numPr>
        <w:rPr>
          <w:rFonts w:asciiTheme="minorHAnsi" w:hAnsiTheme="minorHAnsi" w:cstheme="minorHAnsi"/>
        </w:rPr>
      </w:pPr>
      <w:r w:rsidRPr="00144A5A">
        <w:rPr>
          <w:rFonts w:asciiTheme="minorHAnsi" w:hAnsiTheme="minorHAnsi" w:cstheme="minorHAnsi"/>
        </w:rPr>
        <w:lastRenderedPageBreak/>
        <w:t xml:space="preserve">The Fund’s total expected return should exceed a composite return of market indices representing 58% stocks, 38% bonds, and 4.0% cash equivalents. </w:t>
      </w:r>
    </w:p>
    <w:p w14:paraId="4E8D0269" w14:textId="77777777" w:rsidR="00C320A2" w:rsidRDefault="00C320A2" w:rsidP="00C320A2">
      <w:pPr>
        <w:ind w:left="720"/>
        <w:rPr>
          <w:rFonts w:asciiTheme="minorHAnsi" w:hAnsiTheme="minorHAnsi" w:cstheme="minorHAnsi"/>
        </w:rPr>
      </w:pPr>
    </w:p>
    <w:p w14:paraId="0C4536B4" w14:textId="0C3375DA" w:rsidR="00144A5A" w:rsidRPr="00144A5A" w:rsidRDefault="00144A5A" w:rsidP="00144A5A">
      <w:pPr>
        <w:numPr>
          <w:ilvl w:val="0"/>
          <w:numId w:val="10"/>
        </w:numPr>
        <w:rPr>
          <w:rFonts w:asciiTheme="minorHAnsi" w:hAnsiTheme="minorHAnsi" w:cstheme="minorHAnsi"/>
        </w:rPr>
      </w:pPr>
      <w:r w:rsidRPr="00144A5A">
        <w:rPr>
          <w:rFonts w:asciiTheme="minorHAnsi" w:hAnsiTheme="minorHAnsi" w:cstheme="minorHAnsi"/>
        </w:rPr>
        <w:t xml:space="preserve">Although the Fund’s performance will be evaluated against market benchmarks, the investment strategy also should incorporate </w:t>
      </w:r>
      <w:r w:rsidR="00C320A2">
        <w:rPr>
          <w:rFonts w:asciiTheme="minorHAnsi" w:hAnsiTheme="minorHAnsi" w:cstheme="minorHAnsi"/>
        </w:rPr>
        <w:t>[affiliate]</w:t>
      </w:r>
      <w:r w:rsidRPr="00144A5A">
        <w:rPr>
          <w:rFonts w:asciiTheme="minorHAnsi" w:hAnsiTheme="minorHAnsi" w:cstheme="minorHAnsi"/>
        </w:rPr>
        <w:t xml:space="preserve"> budget and financial needs, especially in times of market and/or organization stress. During these times, absolute returns may take priority over relative ones. </w:t>
      </w:r>
    </w:p>
    <w:p w14:paraId="31DA87E1" w14:textId="77777777" w:rsidR="00227E56" w:rsidRPr="00144A5A" w:rsidRDefault="00227E56" w:rsidP="00227E56">
      <w:pPr>
        <w:rPr>
          <w:rFonts w:asciiTheme="minorHAnsi" w:hAnsiTheme="minorHAnsi" w:cstheme="minorHAnsi"/>
        </w:rPr>
      </w:pPr>
    </w:p>
    <w:p w14:paraId="279B960F" w14:textId="4EC2D81A" w:rsidR="00227E56" w:rsidRDefault="00227E56" w:rsidP="00227E56">
      <w:pPr>
        <w:pStyle w:val="Heading2"/>
        <w:jc w:val="left"/>
        <w:rPr>
          <w:rFonts w:asciiTheme="minorHAnsi" w:hAnsiTheme="minorHAnsi" w:cstheme="minorHAnsi"/>
          <w:u w:val="none"/>
        </w:rPr>
      </w:pPr>
      <w:r w:rsidRPr="00144A5A">
        <w:rPr>
          <w:rFonts w:asciiTheme="minorHAnsi" w:hAnsiTheme="minorHAnsi" w:cstheme="minorHAnsi"/>
          <w:u w:val="none"/>
        </w:rPr>
        <w:t>PROCEDURES:</w:t>
      </w:r>
    </w:p>
    <w:p w14:paraId="23E9393C" w14:textId="77777777" w:rsidR="00C320A2" w:rsidRPr="00C320A2" w:rsidRDefault="00C320A2" w:rsidP="00C320A2"/>
    <w:p w14:paraId="0E19C498" w14:textId="64CA316E" w:rsidR="00227E56" w:rsidRPr="00144A5A" w:rsidRDefault="00144A5A" w:rsidP="00144A5A">
      <w:pPr>
        <w:rPr>
          <w:rFonts w:asciiTheme="minorHAnsi" w:hAnsiTheme="minorHAnsi" w:cstheme="minorHAnsi"/>
        </w:rPr>
      </w:pPr>
      <w:r w:rsidRPr="00144A5A">
        <w:rPr>
          <w:rFonts w:asciiTheme="minorHAnsi" w:hAnsiTheme="minorHAnsi" w:cstheme="minorHAnsi"/>
        </w:rPr>
        <w:t>The investment policies and restrictions presented in this statement serve as a framework to achieve the investment objectives at the level of risk deemed acceptable by the Finance and Audit Committee. These policies and restrictions are designed to minimize interference with efforts to attain overall objectives, and to minimize the probability of excluding appropriate investment opportunities, with the following considerations:</w:t>
      </w:r>
    </w:p>
    <w:p w14:paraId="7B114475" w14:textId="77777777" w:rsidR="00144A5A" w:rsidRDefault="00144A5A" w:rsidP="00144A5A">
      <w:pPr>
        <w:pStyle w:val="Default"/>
      </w:pPr>
    </w:p>
    <w:p w14:paraId="55A979C7" w14:textId="33C692C1" w:rsidR="00144A5A" w:rsidRDefault="00144A5A" w:rsidP="00144A5A">
      <w:pPr>
        <w:pStyle w:val="Default"/>
        <w:numPr>
          <w:ilvl w:val="0"/>
          <w:numId w:val="11"/>
        </w:numPr>
        <w:rPr>
          <w:rFonts w:asciiTheme="minorHAnsi" w:hAnsiTheme="minorHAnsi" w:cstheme="minorHAnsi"/>
          <w:sz w:val="23"/>
          <w:szCs w:val="23"/>
        </w:rPr>
      </w:pPr>
      <w:r>
        <w:rPr>
          <w:rFonts w:asciiTheme="minorHAnsi" w:hAnsiTheme="minorHAnsi" w:cstheme="minorHAnsi"/>
          <w:sz w:val="23"/>
          <w:szCs w:val="23"/>
        </w:rPr>
        <w:t>[Affiliate]</w:t>
      </w:r>
      <w:r w:rsidRPr="00144A5A">
        <w:rPr>
          <w:rFonts w:asciiTheme="minorHAnsi" w:hAnsiTheme="minorHAnsi" w:cstheme="minorHAnsi"/>
          <w:sz w:val="23"/>
          <w:szCs w:val="23"/>
        </w:rPr>
        <w:t xml:space="preserve"> investment funds will be managed on a “pooled basis” and will include </w:t>
      </w:r>
      <w:r w:rsidR="00FD03F5">
        <w:rPr>
          <w:rFonts w:asciiTheme="minorHAnsi" w:hAnsiTheme="minorHAnsi" w:cstheme="minorHAnsi"/>
          <w:sz w:val="23"/>
          <w:szCs w:val="23"/>
        </w:rPr>
        <w:t>[internal districts if applicable]</w:t>
      </w:r>
      <w:r w:rsidRPr="00144A5A">
        <w:rPr>
          <w:rFonts w:asciiTheme="minorHAnsi" w:hAnsiTheme="minorHAnsi" w:cstheme="minorHAnsi"/>
          <w:sz w:val="23"/>
          <w:szCs w:val="23"/>
        </w:rPr>
        <w:t xml:space="preserve"> and Affiliate funds which have been deposited with </w:t>
      </w:r>
      <w:r w:rsidR="00FD03F5">
        <w:rPr>
          <w:rFonts w:asciiTheme="minorHAnsi" w:hAnsiTheme="minorHAnsi" w:cstheme="minorHAnsi"/>
          <w:sz w:val="23"/>
          <w:szCs w:val="23"/>
        </w:rPr>
        <w:t>[affiliate]</w:t>
      </w:r>
      <w:r w:rsidRPr="00144A5A">
        <w:rPr>
          <w:rFonts w:asciiTheme="minorHAnsi" w:hAnsiTheme="minorHAnsi" w:cstheme="minorHAnsi"/>
          <w:sz w:val="23"/>
          <w:szCs w:val="23"/>
        </w:rPr>
        <w:t xml:space="preserve">. Investments for </w:t>
      </w:r>
      <w:r w:rsidR="00FD03F5">
        <w:rPr>
          <w:rFonts w:asciiTheme="minorHAnsi" w:hAnsiTheme="minorHAnsi" w:cstheme="minorHAnsi"/>
          <w:sz w:val="23"/>
          <w:szCs w:val="23"/>
        </w:rPr>
        <w:t>[affiliate]</w:t>
      </w:r>
      <w:r w:rsidRPr="00144A5A">
        <w:rPr>
          <w:rFonts w:asciiTheme="minorHAnsi" w:hAnsiTheme="minorHAnsi" w:cstheme="minorHAnsi"/>
          <w:sz w:val="23"/>
          <w:szCs w:val="23"/>
        </w:rPr>
        <w:t xml:space="preserve"> Foundation will be managed in a separate fund following the same guidelines as the </w:t>
      </w:r>
      <w:r w:rsidR="00FD03F5">
        <w:rPr>
          <w:rFonts w:asciiTheme="minorHAnsi" w:hAnsiTheme="minorHAnsi" w:cstheme="minorHAnsi"/>
          <w:sz w:val="23"/>
          <w:szCs w:val="23"/>
        </w:rPr>
        <w:t>[affiliate]</w:t>
      </w:r>
      <w:r w:rsidRPr="00144A5A">
        <w:rPr>
          <w:rFonts w:asciiTheme="minorHAnsi" w:hAnsiTheme="minorHAnsi" w:cstheme="minorHAnsi"/>
          <w:sz w:val="23"/>
          <w:szCs w:val="23"/>
        </w:rPr>
        <w:t xml:space="preserve"> fund. </w:t>
      </w:r>
    </w:p>
    <w:p w14:paraId="7BB0A189" w14:textId="77777777" w:rsidR="00FD03F5" w:rsidRDefault="00FD03F5" w:rsidP="00FD03F5">
      <w:pPr>
        <w:pStyle w:val="Default"/>
        <w:ind w:left="720"/>
        <w:rPr>
          <w:rFonts w:asciiTheme="minorHAnsi" w:hAnsiTheme="minorHAnsi" w:cstheme="minorHAnsi"/>
          <w:sz w:val="23"/>
          <w:szCs w:val="23"/>
        </w:rPr>
      </w:pPr>
    </w:p>
    <w:p w14:paraId="20C3A186" w14:textId="636D85BD" w:rsidR="00144A5A" w:rsidRDefault="00144A5A" w:rsidP="00144A5A">
      <w:pPr>
        <w:pStyle w:val="Default"/>
        <w:numPr>
          <w:ilvl w:val="0"/>
          <w:numId w:val="11"/>
        </w:numPr>
        <w:rPr>
          <w:rFonts w:asciiTheme="minorHAnsi" w:hAnsiTheme="minorHAnsi" w:cstheme="minorHAnsi"/>
          <w:sz w:val="23"/>
          <w:szCs w:val="23"/>
        </w:rPr>
      </w:pPr>
      <w:r w:rsidRPr="00144A5A">
        <w:rPr>
          <w:rFonts w:asciiTheme="minorHAnsi" w:hAnsiTheme="minorHAnsi" w:cstheme="minorHAnsi"/>
          <w:sz w:val="23"/>
          <w:szCs w:val="23"/>
        </w:rPr>
        <w:t xml:space="preserve">The investment advisor will be kept informed of </w:t>
      </w:r>
      <w:r w:rsidR="00FD03F5">
        <w:rPr>
          <w:rFonts w:asciiTheme="minorHAnsi" w:hAnsiTheme="minorHAnsi" w:cstheme="minorHAnsi"/>
          <w:sz w:val="23"/>
          <w:szCs w:val="23"/>
        </w:rPr>
        <w:t>[affiliate]’s</w:t>
      </w:r>
      <w:r w:rsidRPr="00144A5A">
        <w:rPr>
          <w:rFonts w:asciiTheme="minorHAnsi" w:hAnsiTheme="minorHAnsi" w:cstheme="minorHAnsi"/>
          <w:sz w:val="23"/>
          <w:szCs w:val="23"/>
        </w:rPr>
        <w:t xml:space="preserve"> mission and values. Even though the investment advisor has the authority to make all investments he/she deems necessary to maximize the returns, he/she should use the mission and values as a guiding principle for all investments. </w:t>
      </w:r>
    </w:p>
    <w:p w14:paraId="29C6B32D" w14:textId="77777777" w:rsidR="00FD03F5" w:rsidRDefault="00FD03F5" w:rsidP="00FD03F5">
      <w:pPr>
        <w:pStyle w:val="Default"/>
        <w:ind w:left="720"/>
        <w:rPr>
          <w:rFonts w:asciiTheme="minorHAnsi" w:hAnsiTheme="minorHAnsi" w:cstheme="minorHAnsi"/>
          <w:sz w:val="23"/>
          <w:szCs w:val="23"/>
        </w:rPr>
      </w:pPr>
    </w:p>
    <w:p w14:paraId="390A0832" w14:textId="2A195B0C" w:rsidR="00144A5A" w:rsidRDefault="00144A5A" w:rsidP="00144A5A">
      <w:pPr>
        <w:pStyle w:val="Default"/>
        <w:numPr>
          <w:ilvl w:val="0"/>
          <w:numId w:val="11"/>
        </w:numPr>
        <w:rPr>
          <w:rFonts w:asciiTheme="minorHAnsi" w:hAnsiTheme="minorHAnsi" w:cstheme="minorHAnsi"/>
          <w:sz w:val="23"/>
          <w:szCs w:val="23"/>
        </w:rPr>
      </w:pPr>
      <w:r w:rsidRPr="00144A5A">
        <w:rPr>
          <w:rFonts w:asciiTheme="minorHAnsi" w:hAnsiTheme="minorHAnsi" w:cstheme="minorHAnsi"/>
          <w:sz w:val="23"/>
          <w:szCs w:val="23"/>
        </w:rPr>
        <w:t>The Finance and Audit Committee and the Board of Directors will review the performance of the investment advisor annually or sooner if the situation warrants. If applicable, a</w:t>
      </w:r>
      <w:r w:rsidR="00FD03F5">
        <w:rPr>
          <w:rFonts w:asciiTheme="minorHAnsi" w:hAnsiTheme="minorHAnsi" w:cstheme="minorHAnsi"/>
          <w:sz w:val="23"/>
          <w:szCs w:val="23"/>
        </w:rPr>
        <w:t>n</w:t>
      </w:r>
      <w:r w:rsidRPr="00144A5A">
        <w:rPr>
          <w:rFonts w:asciiTheme="minorHAnsi" w:hAnsiTheme="minorHAnsi" w:cstheme="minorHAnsi"/>
          <w:sz w:val="23"/>
          <w:szCs w:val="23"/>
        </w:rPr>
        <w:t xml:space="preserve"> RFP should be developed and distributed for the sole intent of replacing the investment advisor. </w:t>
      </w:r>
    </w:p>
    <w:p w14:paraId="653F4DDE" w14:textId="77777777" w:rsidR="00FD03F5" w:rsidRDefault="00FD03F5" w:rsidP="00FD03F5">
      <w:pPr>
        <w:pStyle w:val="Default"/>
        <w:ind w:left="720"/>
        <w:rPr>
          <w:rFonts w:asciiTheme="minorHAnsi" w:hAnsiTheme="minorHAnsi" w:cstheme="minorHAnsi"/>
          <w:sz w:val="23"/>
          <w:szCs w:val="23"/>
        </w:rPr>
      </w:pPr>
    </w:p>
    <w:p w14:paraId="5C5DBEA2" w14:textId="46D49AB1" w:rsidR="00144A5A" w:rsidRPr="00144A5A" w:rsidRDefault="00144A5A" w:rsidP="00144A5A">
      <w:pPr>
        <w:pStyle w:val="Default"/>
        <w:numPr>
          <w:ilvl w:val="0"/>
          <w:numId w:val="11"/>
        </w:numPr>
        <w:rPr>
          <w:rFonts w:asciiTheme="minorHAnsi" w:hAnsiTheme="minorHAnsi" w:cstheme="minorHAnsi"/>
          <w:sz w:val="23"/>
          <w:szCs w:val="23"/>
        </w:rPr>
      </w:pPr>
      <w:r w:rsidRPr="00144A5A">
        <w:rPr>
          <w:rFonts w:asciiTheme="minorHAnsi" w:hAnsiTheme="minorHAnsi" w:cstheme="minorHAnsi"/>
          <w:sz w:val="23"/>
          <w:szCs w:val="23"/>
        </w:rPr>
        <w:t>Every ten years, or sooner if the situation warrants, the appropriateness of an RFP for the management of the investment funds should be considered part of a routine investment review.</w:t>
      </w:r>
      <w:r w:rsidRPr="00144A5A">
        <w:rPr>
          <w:sz w:val="23"/>
          <w:szCs w:val="23"/>
        </w:rPr>
        <w:t xml:space="preserve"> </w:t>
      </w:r>
    </w:p>
    <w:p w14:paraId="57BE0B73" w14:textId="50E92E52" w:rsidR="00227E56" w:rsidRPr="00144A5A" w:rsidRDefault="00227E56" w:rsidP="00144A5A">
      <w:pPr>
        <w:rPr>
          <w:rFonts w:asciiTheme="minorHAnsi" w:hAnsiTheme="minorHAnsi" w:cstheme="minorHAnsi"/>
        </w:rPr>
      </w:pPr>
    </w:p>
    <w:p w14:paraId="30CA29E6" w14:textId="77777777" w:rsidR="00227E56" w:rsidRPr="00144A5A" w:rsidRDefault="00227E56" w:rsidP="00227E56">
      <w:pPr>
        <w:rPr>
          <w:rFonts w:asciiTheme="minorHAnsi" w:hAnsiTheme="minorHAnsi" w:cstheme="minorHAnsi"/>
        </w:rPr>
      </w:pPr>
    </w:p>
    <w:p w14:paraId="56B61E57" w14:textId="77777777" w:rsidR="00227E56" w:rsidRPr="00144A5A" w:rsidRDefault="00227E56" w:rsidP="00E5604B">
      <w:pPr>
        <w:pStyle w:val="Heading3"/>
        <w:rPr>
          <w:rFonts w:asciiTheme="minorHAnsi" w:hAnsiTheme="minorHAnsi" w:cstheme="minorHAnsi"/>
        </w:rPr>
      </w:pPr>
      <w:r w:rsidRPr="00144A5A">
        <w:rPr>
          <w:rFonts w:asciiTheme="minorHAnsi" w:hAnsiTheme="minorHAnsi" w:cstheme="minorHAnsi"/>
        </w:rPr>
        <w:t>PROHIBITED INVESTMENTS</w:t>
      </w:r>
    </w:p>
    <w:p w14:paraId="5BB4FA57" w14:textId="77777777" w:rsidR="00144A5A" w:rsidRPr="00144A5A" w:rsidRDefault="00144A5A" w:rsidP="00144A5A">
      <w:pPr>
        <w:rPr>
          <w:rFonts w:asciiTheme="minorHAnsi" w:hAnsiTheme="minorHAnsi" w:cstheme="minorHAnsi"/>
        </w:rPr>
      </w:pPr>
      <w:r w:rsidRPr="00144A5A">
        <w:rPr>
          <w:rFonts w:asciiTheme="minorHAnsi" w:hAnsiTheme="minorHAnsi" w:cstheme="minorHAnsi"/>
        </w:rPr>
        <w:t xml:space="preserve">The advisor will have discretionary authority to select securities, but direct investment in the following investments and investment activities is prohibited: </w:t>
      </w:r>
    </w:p>
    <w:p w14:paraId="48F4C674" w14:textId="76A7ECDC" w:rsidR="00144A5A" w:rsidRPr="00144A5A" w:rsidRDefault="00144A5A" w:rsidP="00C320A2">
      <w:pPr>
        <w:numPr>
          <w:ilvl w:val="0"/>
          <w:numId w:val="13"/>
        </w:numPr>
        <w:rPr>
          <w:rFonts w:asciiTheme="minorHAnsi" w:hAnsiTheme="minorHAnsi" w:cstheme="minorHAnsi"/>
        </w:rPr>
      </w:pPr>
      <w:r w:rsidRPr="00144A5A">
        <w:rPr>
          <w:rFonts w:asciiTheme="minorHAnsi" w:hAnsiTheme="minorHAnsi" w:cstheme="minorHAnsi"/>
        </w:rPr>
        <w:t xml:space="preserve">Private </w:t>
      </w:r>
      <w:proofErr w:type="gramStart"/>
      <w:r w:rsidRPr="00144A5A">
        <w:rPr>
          <w:rFonts w:asciiTheme="minorHAnsi" w:hAnsiTheme="minorHAnsi" w:cstheme="minorHAnsi"/>
        </w:rPr>
        <w:t>placements;</w:t>
      </w:r>
      <w:proofErr w:type="gramEnd"/>
      <w:r w:rsidRPr="00144A5A">
        <w:rPr>
          <w:rFonts w:asciiTheme="minorHAnsi" w:hAnsiTheme="minorHAnsi" w:cstheme="minorHAnsi"/>
        </w:rPr>
        <w:t xml:space="preserve"> </w:t>
      </w:r>
    </w:p>
    <w:p w14:paraId="716E2ABA" w14:textId="00728D4F" w:rsidR="00144A5A" w:rsidRPr="00144A5A" w:rsidRDefault="00144A5A" w:rsidP="00C320A2">
      <w:pPr>
        <w:numPr>
          <w:ilvl w:val="0"/>
          <w:numId w:val="13"/>
        </w:numPr>
        <w:rPr>
          <w:rFonts w:asciiTheme="minorHAnsi" w:hAnsiTheme="minorHAnsi" w:cstheme="minorHAnsi"/>
        </w:rPr>
      </w:pPr>
      <w:r w:rsidRPr="00144A5A">
        <w:rPr>
          <w:rFonts w:asciiTheme="minorHAnsi" w:hAnsiTheme="minorHAnsi" w:cstheme="minorHAnsi"/>
        </w:rPr>
        <w:t xml:space="preserve">Letter </w:t>
      </w:r>
      <w:proofErr w:type="gramStart"/>
      <w:r w:rsidRPr="00144A5A">
        <w:rPr>
          <w:rFonts w:asciiTheme="minorHAnsi" w:hAnsiTheme="minorHAnsi" w:cstheme="minorHAnsi"/>
        </w:rPr>
        <w:t>stock;</w:t>
      </w:r>
      <w:proofErr w:type="gramEnd"/>
      <w:r w:rsidRPr="00144A5A">
        <w:rPr>
          <w:rFonts w:asciiTheme="minorHAnsi" w:hAnsiTheme="minorHAnsi" w:cstheme="minorHAnsi"/>
        </w:rPr>
        <w:t xml:space="preserve"> </w:t>
      </w:r>
    </w:p>
    <w:p w14:paraId="2A6A1290" w14:textId="45A3BB88" w:rsidR="00144A5A" w:rsidRPr="00144A5A" w:rsidRDefault="00144A5A" w:rsidP="00C320A2">
      <w:pPr>
        <w:numPr>
          <w:ilvl w:val="0"/>
          <w:numId w:val="13"/>
        </w:numPr>
        <w:rPr>
          <w:rFonts w:asciiTheme="minorHAnsi" w:hAnsiTheme="minorHAnsi" w:cstheme="minorHAnsi"/>
        </w:rPr>
      </w:pPr>
      <w:proofErr w:type="gramStart"/>
      <w:r w:rsidRPr="00144A5A">
        <w:rPr>
          <w:rFonts w:asciiTheme="minorHAnsi" w:hAnsiTheme="minorHAnsi" w:cstheme="minorHAnsi"/>
        </w:rPr>
        <w:t>Derivatives;</w:t>
      </w:r>
      <w:proofErr w:type="gramEnd"/>
      <w:r w:rsidRPr="00144A5A">
        <w:rPr>
          <w:rFonts w:asciiTheme="minorHAnsi" w:hAnsiTheme="minorHAnsi" w:cstheme="minorHAnsi"/>
        </w:rPr>
        <w:t xml:space="preserve"> </w:t>
      </w:r>
    </w:p>
    <w:p w14:paraId="4256F4DB" w14:textId="355E3436" w:rsidR="00144A5A" w:rsidRPr="00144A5A" w:rsidRDefault="00144A5A" w:rsidP="00C320A2">
      <w:pPr>
        <w:numPr>
          <w:ilvl w:val="0"/>
          <w:numId w:val="13"/>
        </w:numPr>
        <w:rPr>
          <w:rFonts w:asciiTheme="minorHAnsi" w:hAnsiTheme="minorHAnsi" w:cstheme="minorHAnsi"/>
        </w:rPr>
      </w:pPr>
      <w:r w:rsidRPr="00144A5A">
        <w:rPr>
          <w:rFonts w:asciiTheme="minorHAnsi" w:hAnsiTheme="minorHAnsi" w:cstheme="minorHAnsi"/>
        </w:rPr>
        <w:t xml:space="preserve">Commodities or commodity </w:t>
      </w:r>
      <w:proofErr w:type="gramStart"/>
      <w:r w:rsidRPr="00144A5A">
        <w:rPr>
          <w:rFonts w:asciiTheme="minorHAnsi" w:hAnsiTheme="minorHAnsi" w:cstheme="minorHAnsi"/>
        </w:rPr>
        <w:t>contracts;</w:t>
      </w:r>
      <w:proofErr w:type="gramEnd"/>
      <w:r w:rsidRPr="00144A5A">
        <w:rPr>
          <w:rFonts w:asciiTheme="minorHAnsi" w:hAnsiTheme="minorHAnsi" w:cstheme="minorHAnsi"/>
        </w:rPr>
        <w:t xml:space="preserve"> </w:t>
      </w:r>
    </w:p>
    <w:p w14:paraId="1CFC4788" w14:textId="7A05DED2" w:rsidR="00144A5A" w:rsidRPr="00144A5A" w:rsidRDefault="00144A5A" w:rsidP="00C320A2">
      <w:pPr>
        <w:numPr>
          <w:ilvl w:val="0"/>
          <w:numId w:val="13"/>
        </w:numPr>
        <w:rPr>
          <w:rFonts w:asciiTheme="minorHAnsi" w:hAnsiTheme="minorHAnsi" w:cstheme="minorHAnsi"/>
        </w:rPr>
      </w:pPr>
      <w:r w:rsidRPr="00144A5A">
        <w:rPr>
          <w:rFonts w:asciiTheme="minorHAnsi" w:hAnsiTheme="minorHAnsi" w:cstheme="minorHAnsi"/>
        </w:rPr>
        <w:t xml:space="preserve">Short sales; and, </w:t>
      </w:r>
    </w:p>
    <w:p w14:paraId="1550FB4F" w14:textId="4E420B02" w:rsidR="00144A5A" w:rsidRPr="00144A5A" w:rsidRDefault="00144A5A" w:rsidP="00C320A2">
      <w:pPr>
        <w:numPr>
          <w:ilvl w:val="0"/>
          <w:numId w:val="13"/>
        </w:numPr>
        <w:rPr>
          <w:rFonts w:asciiTheme="minorHAnsi" w:hAnsiTheme="minorHAnsi" w:cstheme="minorHAnsi"/>
        </w:rPr>
      </w:pPr>
      <w:r w:rsidRPr="00144A5A">
        <w:rPr>
          <w:rFonts w:asciiTheme="minorHAnsi" w:hAnsiTheme="minorHAnsi" w:cstheme="minorHAnsi"/>
        </w:rPr>
        <w:t xml:space="preserve">Margin </w:t>
      </w:r>
      <w:proofErr w:type="gramStart"/>
      <w:r w:rsidRPr="00144A5A">
        <w:rPr>
          <w:rFonts w:asciiTheme="minorHAnsi" w:hAnsiTheme="minorHAnsi" w:cstheme="minorHAnsi"/>
        </w:rPr>
        <w:t>transactions;</w:t>
      </w:r>
      <w:proofErr w:type="gramEnd"/>
      <w:r w:rsidRPr="00144A5A">
        <w:rPr>
          <w:rFonts w:asciiTheme="minorHAnsi" w:hAnsiTheme="minorHAnsi" w:cstheme="minorHAnsi"/>
        </w:rPr>
        <w:t xml:space="preserve"> </w:t>
      </w:r>
    </w:p>
    <w:p w14:paraId="5EC5C370" w14:textId="56AD3B25" w:rsidR="00144A5A" w:rsidRPr="00144A5A" w:rsidRDefault="00144A5A" w:rsidP="00C320A2">
      <w:pPr>
        <w:numPr>
          <w:ilvl w:val="0"/>
          <w:numId w:val="13"/>
        </w:numPr>
        <w:rPr>
          <w:rFonts w:asciiTheme="minorHAnsi" w:hAnsiTheme="minorHAnsi" w:cstheme="minorHAnsi"/>
        </w:rPr>
      </w:pPr>
      <w:r w:rsidRPr="00144A5A">
        <w:rPr>
          <w:rFonts w:asciiTheme="minorHAnsi" w:hAnsiTheme="minorHAnsi" w:cstheme="minorHAnsi"/>
        </w:rPr>
        <w:t xml:space="preserve">Currencies of any kind </w:t>
      </w:r>
    </w:p>
    <w:p w14:paraId="63E7934D" w14:textId="77777777" w:rsidR="00144A5A" w:rsidRPr="00144A5A" w:rsidRDefault="00144A5A" w:rsidP="00144A5A">
      <w:pPr>
        <w:rPr>
          <w:rFonts w:asciiTheme="minorHAnsi" w:hAnsiTheme="minorHAnsi" w:cstheme="minorHAnsi"/>
        </w:rPr>
      </w:pPr>
    </w:p>
    <w:p w14:paraId="0E088B49" w14:textId="4266B4C4" w:rsidR="00227E56" w:rsidRPr="00144A5A" w:rsidRDefault="00144A5A" w:rsidP="00144A5A">
      <w:pPr>
        <w:rPr>
          <w:rFonts w:asciiTheme="minorHAnsi" w:hAnsiTheme="minorHAnsi" w:cstheme="minorHAnsi"/>
        </w:rPr>
      </w:pPr>
      <w:r w:rsidRPr="00144A5A">
        <w:rPr>
          <w:rFonts w:asciiTheme="minorHAnsi" w:hAnsiTheme="minorHAnsi" w:cstheme="minorHAnsi"/>
        </w:rPr>
        <w:t xml:space="preserve">A pooled investment fund or mutual fund which includes the above noted investments can be used, subject to a 5% maximum of total value of </w:t>
      </w:r>
      <w:r w:rsidR="00FD03F5">
        <w:rPr>
          <w:rFonts w:asciiTheme="minorHAnsi" w:hAnsiTheme="minorHAnsi" w:cstheme="minorHAnsi"/>
        </w:rPr>
        <w:t>[affiliate]</w:t>
      </w:r>
      <w:r w:rsidRPr="00144A5A">
        <w:rPr>
          <w:rFonts w:asciiTheme="minorHAnsi" w:hAnsiTheme="minorHAnsi" w:cstheme="minorHAnsi"/>
        </w:rPr>
        <w:t xml:space="preserve"> investments. However, not one of the items listed above can be more than 1% of the total </w:t>
      </w:r>
      <w:r w:rsidR="00FD03F5">
        <w:rPr>
          <w:rFonts w:asciiTheme="minorHAnsi" w:hAnsiTheme="minorHAnsi" w:cstheme="minorHAnsi"/>
        </w:rPr>
        <w:t>[affiliate]</w:t>
      </w:r>
      <w:r w:rsidRPr="00144A5A">
        <w:rPr>
          <w:rFonts w:asciiTheme="minorHAnsi" w:hAnsiTheme="minorHAnsi" w:cstheme="minorHAnsi"/>
        </w:rPr>
        <w:t xml:space="preserve"> portfolio.</w:t>
      </w:r>
    </w:p>
    <w:p w14:paraId="791D9ADD" w14:textId="77777777" w:rsidR="00C320A2" w:rsidRDefault="00C320A2" w:rsidP="00E5604B">
      <w:pPr>
        <w:pStyle w:val="Heading3"/>
        <w:rPr>
          <w:rFonts w:asciiTheme="minorHAnsi" w:hAnsiTheme="minorHAnsi" w:cstheme="minorHAnsi"/>
        </w:rPr>
      </w:pPr>
    </w:p>
    <w:p w14:paraId="78D41E7F" w14:textId="33665D7F" w:rsidR="00227E56" w:rsidRPr="00144A5A" w:rsidRDefault="00227E56" w:rsidP="00E5604B">
      <w:pPr>
        <w:pStyle w:val="Heading3"/>
        <w:rPr>
          <w:rFonts w:asciiTheme="minorHAnsi" w:hAnsiTheme="minorHAnsi" w:cstheme="minorHAnsi"/>
        </w:rPr>
      </w:pPr>
      <w:r w:rsidRPr="00144A5A">
        <w:rPr>
          <w:rFonts w:asciiTheme="minorHAnsi" w:hAnsiTheme="minorHAnsi" w:cstheme="minorHAnsi"/>
        </w:rPr>
        <w:t>DIVERSIFICATION</w:t>
      </w:r>
    </w:p>
    <w:p w14:paraId="339D44D5" w14:textId="77777777" w:rsidR="00C320A2" w:rsidRDefault="00C320A2" w:rsidP="00144A5A">
      <w:pPr>
        <w:rPr>
          <w:rFonts w:asciiTheme="minorHAnsi" w:hAnsiTheme="minorHAnsi" w:cstheme="minorHAnsi"/>
        </w:rPr>
      </w:pPr>
    </w:p>
    <w:p w14:paraId="097716DE" w14:textId="79319279" w:rsidR="00144A5A" w:rsidRDefault="00144A5A" w:rsidP="00144A5A">
      <w:pPr>
        <w:rPr>
          <w:rFonts w:asciiTheme="minorHAnsi" w:hAnsiTheme="minorHAnsi" w:cstheme="minorHAnsi"/>
        </w:rPr>
      </w:pPr>
      <w:r w:rsidRPr="00144A5A">
        <w:rPr>
          <w:rFonts w:asciiTheme="minorHAnsi" w:hAnsiTheme="minorHAnsi" w:cstheme="minorHAnsi"/>
        </w:rPr>
        <w:t xml:space="preserve">Individual stocks are subject to maximum 3% commitment at cost or 5% commitment of the asset class market value for an individual security and 25% for a particular industry or sector. </w:t>
      </w:r>
    </w:p>
    <w:p w14:paraId="7DCD32E6" w14:textId="77777777" w:rsidR="00FD03F5" w:rsidRPr="00144A5A" w:rsidRDefault="00FD03F5" w:rsidP="00144A5A">
      <w:pPr>
        <w:rPr>
          <w:rFonts w:asciiTheme="minorHAnsi" w:hAnsiTheme="minorHAnsi" w:cstheme="minorHAnsi"/>
        </w:rPr>
      </w:pPr>
    </w:p>
    <w:p w14:paraId="35D6B365" w14:textId="38B4F081" w:rsidR="00227E56" w:rsidRPr="00144A5A" w:rsidRDefault="00144A5A" w:rsidP="00144A5A">
      <w:pPr>
        <w:rPr>
          <w:rFonts w:asciiTheme="minorHAnsi" w:hAnsiTheme="minorHAnsi" w:cstheme="minorHAnsi"/>
        </w:rPr>
      </w:pPr>
      <w:r w:rsidRPr="00144A5A">
        <w:rPr>
          <w:rFonts w:asciiTheme="minorHAnsi" w:hAnsiTheme="minorHAnsi" w:cstheme="minorHAnsi"/>
        </w:rPr>
        <w:t>Individual bonds not guaranteed by the U.S. Government, its agencies or instrumentalities are subject to a maximum 5% commitment of the asset class at cost.</w:t>
      </w:r>
    </w:p>
    <w:p w14:paraId="6D5CBD1C" w14:textId="77777777" w:rsidR="00144A5A" w:rsidRDefault="00144A5A" w:rsidP="00E5604B">
      <w:pPr>
        <w:pStyle w:val="Heading3"/>
        <w:rPr>
          <w:rFonts w:asciiTheme="minorHAnsi" w:hAnsiTheme="minorHAnsi" w:cstheme="minorHAnsi"/>
        </w:rPr>
      </w:pPr>
    </w:p>
    <w:p w14:paraId="08ACFB24" w14:textId="0A655AE5" w:rsidR="00227E56" w:rsidRPr="00144A5A" w:rsidRDefault="00227E56" w:rsidP="00E5604B">
      <w:pPr>
        <w:pStyle w:val="Heading3"/>
        <w:rPr>
          <w:rFonts w:asciiTheme="minorHAnsi" w:hAnsiTheme="minorHAnsi" w:cstheme="minorHAnsi"/>
        </w:rPr>
      </w:pPr>
      <w:r w:rsidRPr="00144A5A">
        <w:rPr>
          <w:rFonts w:asciiTheme="minorHAnsi" w:hAnsiTheme="minorHAnsi" w:cstheme="minorHAnsi"/>
        </w:rPr>
        <w:t xml:space="preserve">TARGET ASSET ALLOCATION </w:t>
      </w:r>
    </w:p>
    <w:p w14:paraId="03BB0081" w14:textId="77777777" w:rsidR="00C320A2" w:rsidRDefault="00C320A2" w:rsidP="00C320A2">
      <w:pPr>
        <w:rPr>
          <w:rFonts w:asciiTheme="minorHAnsi" w:hAnsiTheme="minorHAnsi" w:cstheme="minorHAnsi"/>
        </w:rPr>
      </w:pPr>
    </w:p>
    <w:p w14:paraId="0023AF33" w14:textId="4426A701" w:rsidR="00C320A2" w:rsidRDefault="00C320A2" w:rsidP="00C320A2">
      <w:pPr>
        <w:rPr>
          <w:rFonts w:asciiTheme="minorHAnsi" w:hAnsiTheme="minorHAnsi" w:cstheme="minorHAnsi"/>
        </w:rPr>
      </w:pPr>
      <w:r w:rsidRPr="00C320A2">
        <w:rPr>
          <w:rFonts w:asciiTheme="minorHAnsi" w:hAnsiTheme="minorHAnsi" w:cstheme="minorHAnsi"/>
        </w:rPr>
        <w:t xml:space="preserve">The Fund shall be comprised of the asset classes listed in the table below. The target weight is the desired weight for each asset class. The minimum weights and maximum weights are to allow for normal market fluctuations. It shall be the responsibility of the investment advisor to remain within the range specified for each asset class. </w:t>
      </w:r>
    </w:p>
    <w:p w14:paraId="19E1982C" w14:textId="77777777" w:rsidR="00FD03F5" w:rsidRPr="00C320A2" w:rsidRDefault="00FD03F5" w:rsidP="00C320A2">
      <w:pPr>
        <w:rPr>
          <w:rFonts w:asciiTheme="minorHAnsi" w:hAnsiTheme="minorHAnsi" w:cstheme="minorHAnsi"/>
        </w:rPr>
      </w:pPr>
    </w:p>
    <w:p w14:paraId="60A48F58" w14:textId="4EB73588" w:rsidR="00227E56" w:rsidRPr="00144A5A" w:rsidRDefault="00C320A2" w:rsidP="00C320A2">
      <w:pPr>
        <w:rPr>
          <w:rFonts w:asciiTheme="minorHAnsi" w:hAnsiTheme="minorHAnsi" w:cstheme="minorHAnsi"/>
        </w:rPr>
      </w:pPr>
      <w:r w:rsidRPr="00C320A2">
        <w:rPr>
          <w:rFonts w:asciiTheme="minorHAnsi" w:hAnsiTheme="minorHAnsi" w:cstheme="minorHAnsi"/>
        </w:rPr>
        <w:t xml:space="preserve">If the investment advisor feels it is necessary to move outside of the specified ranges, he may do so only upon written approval of the </w:t>
      </w:r>
      <w:r w:rsidR="00FD03F5">
        <w:rPr>
          <w:rFonts w:asciiTheme="minorHAnsi" w:hAnsiTheme="minorHAnsi" w:cstheme="minorHAnsi"/>
        </w:rPr>
        <w:t>President</w:t>
      </w:r>
      <w:r w:rsidRPr="00C320A2">
        <w:rPr>
          <w:rFonts w:asciiTheme="minorHAnsi" w:hAnsiTheme="minorHAnsi" w:cstheme="minorHAnsi"/>
        </w:rPr>
        <w:t xml:space="preserve">. The </w:t>
      </w:r>
      <w:r w:rsidR="00FD03F5">
        <w:rPr>
          <w:rFonts w:asciiTheme="minorHAnsi" w:hAnsiTheme="minorHAnsi" w:cstheme="minorHAnsi"/>
        </w:rPr>
        <w:t>President</w:t>
      </w:r>
      <w:r w:rsidRPr="00C320A2">
        <w:rPr>
          <w:rFonts w:asciiTheme="minorHAnsi" w:hAnsiTheme="minorHAnsi" w:cstheme="minorHAnsi"/>
        </w:rPr>
        <w:t>, in turn, must notify the Finance and Audit Committee, in writing, of the intent to make this modification.</w:t>
      </w:r>
    </w:p>
    <w:p w14:paraId="4D12CE14" w14:textId="77777777" w:rsidR="00C320A2" w:rsidRDefault="00C320A2" w:rsidP="00227E56">
      <w:pPr>
        <w:rPr>
          <w:rFonts w:asciiTheme="minorHAnsi" w:hAnsiTheme="minorHAnsi" w:cstheme="minorHAnsi"/>
          <w:b/>
          <w:bCs/>
          <w:u w:val="single"/>
        </w:rPr>
      </w:pPr>
    </w:p>
    <w:p w14:paraId="65BD8952" w14:textId="540B9E44" w:rsidR="00227E56" w:rsidRPr="00C320A2" w:rsidRDefault="00227E56" w:rsidP="00C320A2">
      <w:pPr>
        <w:rPr>
          <w:rFonts w:asciiTheme="minorHAnsi" w:hAnsiTheme="minorHAnsi" w:cstheme="minorHAnsi"/>
          <w:b/>
          <w:bCs/>
        </w:rPr>
      </w:pPr>
      <w:r w:rsidRPr="00144A5A">
        <w:rPr>
          <w:rFonts w:asciiTheme="minorHAnsi" w:hAnsiTheme="minorHAnsi" w:cstheme="minorHAnsi"/>
          <w:b/>
          <w:bCs/>
          <w:u w:val="single"/>
        </w:rPr>
        <w:t>ASSET CLASS</w:t>
      </w:r>
      <w:r w:rsidRPr="00144A5A">
        <w:rPr>
          <w:rFonts w:asciiTheme="minorHAnsi" w:hAnsiTheme="minorHAnsi" w:cstheme="minorHAnsi"/>
          <w:b/>
          <w:bCs/>
        </w:rPr>
        <w:tab/>
      </w:r>
      <w:r w:rsidRPr="00144A5A">
        <w:rPr>
          <w:rFonts w:asciiTheme="minorHAnsi" w:hAnsiTheme="minorHAnsi" w:cstheme="minorHAnsi"/>
          <w:b/>
          <w:bCs/>
        </w:rPr>
        <w:tab/>
      </w:r>
      <w:r w:rsidRPr="00144A5A">
        <w:rPr>
          <w:rFonts w:asciiTheme="minorHAnsi" w:hAnsiTheme="minorHAnsi" w:cstheme="minorHAnsi"/>
          <w:b/>
          <w:bCs/>
        </w:rPr>
        <w:tab/>
      </w:r>
      <w:r w:rsidRPr="00144A5A">
        <w:rPr>
          <w:rFonts w:asciiTheme="minorHAnsi" w:hAnsiTheme="minorHAnsi" w:cstheme="minorHAnsi"/>
          <w:b/>
          <w:bCs/>
        </w:rPr>
        <w:tab/>
      </w:r>
      <w:r w:rsidRPr="00144A5A">
        <w:rPr>
          <w:rFonts w:asciiTheme="minorHAnsi" w:hAnsiTheme="minorHAnsi" w:cstheme="minorHAnsi"/>
          <w:b/>
          <w:bCs/>
        </w:rPr>
        <w:tab/>
      </w:r>
      <w:r w:rsidRPr="00144A5A">
        <w:rPr>
          <w:rFonts w:asciiTheme="minorHAnsi" w:hAnsiTheme="minorHAnsi" w:cstheme="minorHAnsi"/>
          <w:b/>
          <w:bCs/>
        </w:rPr>
        <w:tab/>
      </w:r>
      <w:r w:rsidRPr="00144A5A">
        <w:rPr>
          <w:rFonts w:asciiTheme="minorHAnsi" w:hAnsiTheme="minorHAnsi" w:cstheme="minorHAnsi"/>
        </w:rPr>
        <w:tab/>
      </w:r>
      <w:r w:rsidRPr="00144A5A">
        <w:rPr>
          <w:rFonts w:asciiTheme="minorHAnsi" w:hAnsiTheme="minorHAnsi" w:cstheme="minorHAnsi"/>
        </w:rPr>
        <w:tab/>
      </w:r>
      <w:r w:rsidRPr="00144A5A">
        <w:rPr>
          <w:rFonts w:asciiTheme="minorHAnsi" w:hAnsiTheme="minorHAnsi" w:cstheme="minorHAnsi"/>
        </w:rPr>
        <w:tab/>
      </w:r>
      <w:r w:rsidRPr="00144A5A">
        <w:rPr>
          <w:rFonts w:asciiTheme="minorHAnsi" w:hAnsiTheme="minorHAnsi" w:cstheme="minorHAnsi"/>
        </w:rPr>
        <w:tab/>
      </w:r>
      <w:r w:rsidRPr="00144A5A">
        <w:rPr>
          <w:rFonts w:asciiTheme="minorHAnsi" w:hAnsiTheme="minorHAnsi" w:cstheme="minorHAnsi"/>
        </w:rPr>
        <w:tab/>
      </w:r>
      <w:r w:rsidRPr="00144A5A">
        <w:rPr>
          <w:rFonts w:asciiTheme="minorHAnsi" w:hAnsiTheme="minorHAnsi" w:cstheme="minorHAnsi"/>
        </w:rPr>
        <w:tab/>
      </w:r>
    </w:p>
    <w:p w14:paraId="3349EFBF" w14:textId="77777777" w:rsidR="00227E56" w:rsidRPr="00144A5A" w:rsidRDefault="00227E56" w:rsidP="00227E56">
      <w:pPr>
        <w:rPr>
          <w:rFonts w:asciiTheme="minorHAnsi" w:hAnsiTheme="minorHAnsi" w:cstheme="minorHAnsi"/>
        </w:rPr>
      </w:pPr>
    </w:p>
    <w:tbl>
      <w:tblPr>
        <w:tblStyle w:val="TableGrid"/>
        <w:tblW w:w="0" w:type="auto"/>
        <w:tblLook w:val="04A0" w:firstRow="1" w:lastRow="0" w:firstColumn="1" w:lastColumn="0" w:noHBand="0" w:noVBand="1"/>
      </w:tblPr>
      <w:tblGrid>
        <w:gridCol w:w="4338"/>
        <w:gridCol w:w="2250"/>
        <w:gridCol w:w="1890"/>
        <w:gridCol w:w="2250"/>
      </w:tblGrid>
      <w:tr w:rsidR="00C320A2" w14:paraId="079852FD" w14:textId="77777777" w:rsidTr="00C320A2">
        <w:tc>
          <w:tcPr>
            <w:tcW w:w="4338" w:type="dxa"/>
          </w:tcPr>
          <w:p w14:paraId="6ABF40EC" w14:textId="77777777" w:rsidR="00C320A2" w:rsidRDefault="00C320A2" w:rsidP="00227E56">
            <w:pPr>
              <w:rPr>
                <w:rFonts w:asciiTheme="minorHAnsi" w:hAnsiTheme="minorHAnsi" w:cstheme="minorHAnsi"/>
                <w:b/>
                <w:bCs/>
              </w:rPr>
            </w:pPr>
          </w:p>
        </w:tc>
        <w:tc>
          <w:tcPr>
            <w:tcW w:w="2250" w:type="dxa"/>
          </w:tcPr>
          <w:p w14:paraId="462A9E89" w14:textId="15F1394E" w:rsidR="00C320A2" w:rsidRPr="00C320A2" w:rsidRDefault="00C320A2" w:rsidP="00227E56">
            <w:pPr>
              <w:rPr>
                <w:rFonts w:asciiTheme="minorHAnsi" w:hAnsiTheme="minorHAnsi" w:cstheme="minorHAnsi"/>
                <w:b/>
                <w:bCs/>
              </w:rPr>
            </w:pPr>
            <w:r w:rsidRPr="00C320A2">
              <w:rPr>
                <w:rFonts w:ascii="Calibri" w:hAnsi="Calibri" w:cs="Calibri"/>
                <w:b/>
                <w:bCs/>
              </w:rPr>
              <w:t>MINIMUM</w:t>
            </w:r>
            <w:r w:rsidRPr="00C320A2">
              <w:rPr>
                <w:rFonts w:ascii="Calibri" w:hAnsi="Calibri" w:cs="Calibri"/>
                <w:b/>
                <w:bCs/>
              </w:rPr>
              <w:t xml:space="preserve"> </w:t>
            </w:r>
            <w:r w:rsidRPr="00C320A2">
              <w:rPr>
                <w:rFonts w:ascii="Calibri" w:hAnsi="Calibri" w:cs="Calibri"/>
                <w:b/>
                <w:bCs/>
              </w:rPr>
              <w:t>WEIGHT</w:t>
            </w:r>
          </w:p>
        </w:tc>
        <w:tc>
          <w:tcPr>
            <w:tcW w:w="1890" w:type="dxa"/>
          </w:tcPr>
          <w:p w14:paraId="6C10D0D3" w14:textId="08A3E19A" w:rsidR="00C320A2" w:rsidRPr="00C320A2" w:rsidRDefault="00C320A2" w:rsidP="00227E56">
            <w:pPr>
              <w:rPr>
                <w:rFonts w:asciiTheme="minorHAnsi" w:hAnsiTheme="minorHAnsi" w:cstheme="minorHAnsi"/>
                <w:b/>
                <w:bCs/>
              </w:rPr>
            </w:pPr>
            <w:r w:rsidRPr="00C320A2">
              <w:rPr>
                <w:rFonts w:ascii="Calibri" w:hAnsi="Calibri" w:cs="Calibri"/>
                <w:b/>
                <w:bCs/>
              </w:rPr>
              <w:t>TARGET</w:t>
            </w:r>
            <w:r w:rsidRPr="00C320A2">
              <w:rPr>
                <w:rFonts w:ascii="Calibri" w:hAnsi="Calibri" w:cs="Calibri"/>
                <w:b/>
                <w:bCs/>
              </w:rPr>
              <w:t xml:space="preserve"> </w:t>
            </w:r>
            <w:r w:rsidRPr="00C320A2">
              <w:rPr>
                <w:rFonts w:ascii="Calibri" w:hAnsi="Calibri" w:cs="Calibri"/>
                <w:b/>
                <w:bCs/>
              </w:rPr>
              <w:t>WEIGHT</w:t>
            </w:r>
          </w:p>
        </w:tc>
        <w:tc>
          <w:tcPr>
            <w:tcW w:w="2250" w:type="dxa"/>
          </w:tcPr>
          <w:p w14:paraId="5C280D6F" w14:textId="37536BB1" w:rsidR="00C320A2" w:rsidRPr="00C320A2" w:rsidRDefault="00C320A2" w:rsidP="00227E56">
            <w:pPr>
              <w:rPr>
                <w:rFonts w:asciiTheme="minorHAnsi" w:hAnsiTheme="minorHAnsi" w:cstheme="minorHAnsi"/>
                <w:b/>
                <w:bCs/>
              </w:rPr>
            </w:pPr>
            <w:r w:rsidRPr="00C320A2">
              <w:rPr>
                <w:rFonts w:ascii="Calibri" w:hAnsi="Calibri" w:cs="Calibri"/>
                <w:b/>
                <w:bCs/>
              </w:rPr>
              <w:t>MAXIMUM</w:t>
            </w:r>
            <w:r w:rsidRPr="00C320A2">
              <w:rPr>
                <w:rFonts w:ascii="Calibri" w:hAnsi="Calibri" w:cs="Calibri"/>
                <w:b/>
                <w:bCs/>
              </w:rPr>
              <w:t xml:space="preserve"> </w:t>
            </w:r>
            <w:r w:rsidRPr="00C320A2">
              <w:rPr>
                <w:rFonts w:ascii="Calibri" w:hAnsi="Calibri" w:cs="Calibri"/>
                <w:b/>
                <w:bCs/>
              </w:rPr>
              <w:t>WEIGHT</w:t>
            </w:r>
          </w:p>
        </w:tc>
      </w:tr>
      <w:tr w:rsidR="00C320A2" w14:paraId="761E738A" w14:textId="77777777" w:rsidTr="00C320A2">
        <w:tc>
          <w:tcPr>
            <w:tcW w:w="4338" w:type="dxa"/>
          </w:tcPr>
          <w:p w14:paraId="79B46A74" w14:textId="2AAD07E0" w:rsidR="00C320A2" w:rsidRDefault="00C320A2" w:rsidP="00227E56">
            <w:pPr>
              <w:rPr>
                <w:rFonts w:asciiTheme="minorHAnsi" w:hAnsiTheme="minorHAnsi" w:cstheme="minorHAnsi"/>
                <w:b/>
                <w:bCs/>
              </w:rPr>
            </w:pPr>
            <w:r w:rsidRPr="00C320A2">
              <w:rPr>
                <w:rFonts w:ascii="Calibri" w:hAnsi="Calibri" w:cs="Calibri"/>
                <w:b/>
                <w:bCs/>
              </w:rPr>
              <w:t>EQUITY</w:t>
            </w:r>
          </w:p>
        </w:tc>
        <w:tc>
          <w:tcPr>
            <w:tcW w:w="2250" w:type="dxa"/>
          </w:tcPr>
          <w:p w14:paraId="1964ED56" w14:textId="677D6700" w:rsidR="00C320A2" w:rsidRPr="00C320A2" w:rsidRDefault="00C320A2" w:rsidP="00C320A2">
            <w:pPr>
              <w:jc w:val="center"/>
              <w:rPr>
                <w:rFonts w:asciiTheme="minorHAnsi" w:hAnsiTheme="minorHAnsi" w:cstheme="minorHAnsi"/>
              </w:rPr>
            </w:pPr>
            <w:r w:rsidRPr="00C320A2">
              <w:rPr>
                <w:rFonts w:ascii="Calibri" w:hAnsi="Calibri" w:cs="Calibri"/>
              </w:rPr>
              <w:t>45%</w:t>
            </w:r>
          </w:p>
        </w:tc>
        <w:tc>
          <w:tcPr>
            <w:tcW w:w="1890" w:type="dxa"/>
          </w:tcPr>
          <w:p w14:paraId="4FF1C632" w14:textId="59151F73" w:rsidR="00C320A2" w:rsidRPr="00C320A2" w:rsidRDefault="00C320A2" w:rsidP="00C320A2">
            <w:pPr>
              <w:jc w:val="center"/>
              <w:rPr>
                <w:rFonts w:asciiTheme="minorHAnsi" w:hAnsiTheme="minorHAnsi" w:cstheme="minorHAnsi"/>
              </w:rPr>
            </w:pPr>
            <w:r w:rsidRPr="00C320A2">
              <w:rPr>
                <w:rFonts w:ascii="Calibri" w:hAnsi="Calibri" w:cs="Calibri"/>
              </w:rPr>
              <w:t>58%</w:t>
            </w:r>
          </w:p>
        </w:tc>
        <w:tc>
          <w:tcPr>
            <w:tcW w:w="2250" w:type="dxa"/>
          </w:tcPr>
          <w:p w14:paraId="094D50B9" w14:textId="50E54729" w:rsidR="00C320A2" w:rsidRPr="00C320A2" w:rsidRDefault="00C320A2" w:rsidP="00C320A2">
            <w:pPr>
              <w:jc w:val="center"/>
              <w:rPr>
                <w:rFonts w:asciiTheme="minorHAnsi" w:hAnsiTheme="minorHAnsi" w:cstheme="minorHAnsi"/>
              </w:rPr>
            </w:pPr>
            <w:r w:rsidRPr="00C320A2">
              <w:rPr>
                <w:rFonts w:ascii="Calibri" w:hAnsi="Calibri" w:cs="Calibri"/>
              </w:rPr>
              <w:t>65%</w:t>
            </w:r>
          </w:p>
        </w:tc>
      </w:tr>
      <w:tr w:rsidR="00C320A2" w14:paraId="4861C42C" w14:textId="77777777" w:rsidTr="00C320A2">
        <w:tc>
          <w:tcPr>
            <w:tcW w:w="4338" w:type="dxa"/>
          </w:tcPr>
          <w:p w14:paraId="09436707" w14:textId="78882E3C" w:rsidR="00C320A2" w:rsidRDefault="00C320A2" w:rsidP="00227E56">
            <w:pPr>
              <w:rPr>
                <w:rFonts w:asciiTheme="minorHAnsi" w:hAnsiTheme="minorHAnsi" w:cstheme="minorHAnsi"/>
                <w:b/>
                <w:bCs/>
              </w:rPr>
            </w:pPr>
            <w:r w:rsidRPr="00C320A2">
              <w:rPr>
                <w:rFonts w:ascii="Calibri" w:hAnsi="Calibri" w:cs="Calibri"/>
                <w:b/>
                <w:bCs/>
              </w:rPr>
              <w:t xml:space="preserve">FIXED INCOME </w:t>
            </w:r>
            <w:r w:rsidRPr="00C320A2">
              <w:rPr>
                <w:rFonts w:ascii="Calibri" w:hAnsi="Calibri" w:cs="Calibri"/>
                <w:i/>
                <w:iCs/>
              </w:rPr>
              <w:t>(over 1 year maturity)</w:t>
            </w:r>
          </w:p>
        </w:tc>
        <w:tc>
          <w:tcPr>
            <w:tcW w:w="2250" w:type="dxa"/>
          </w:tcPr>
          <w:p w14:paraId="79D42E9D" w14:textId="06E7D9C6" w:rsidR="00C320A2" w:rsidRPr="00C320A2" w:rsidRDefault="00C320A2" w:rsidP="00C320A2">
            <w:pPr>
              <w:jc w:val="center"/>
              <w:rPr>
                <w:rFonts w:asciiTheme="minorHAnsi" w:hAnsiTheme="minorHAnsi" w:cstheme="minorHAnsi"/>
              </w:rPr>
            </w:pPr>
            <w:r w:rsidRPr="00C320A2">
              <w:rPr>
                <w:rFonts w:ascii="Calibri" w:hAnsi="Calibri" w:cs="Calibri"/>
              </w:rPr>
              <w:t>30%</w:t>
            </w:r>
          </w:p>
        </w:tc>
        <w:tc>
          <w:tcPr>
            <w:tcW w:w="1890" w:type="dxa"/>
          </w:tcPr>
          <w:p w14:paraId="5C0D2A47" w14:textId="14A7F203" w:rsidR="00C320A2" w:rsidRPr="00C320A2" w:rsidRDefault="00C320A2" w:rsidP="00C320A2">
            <w:pPr>
              <w:jc w:val="center"/>
              <w:rPr>
                <w:rFonts w:asciiTheme="minorHAnsi" w:hAnsiTheme="minorHAnsi" w:cstheme="minorHAnsi"/>
              </w:rPr>
            </w:pPr>
            <w:r w:rsidRPr="00C320A2">
              <w:rPr>
                <w:rFonts w:ascii="Calibri" w:hAnsi="Calibri" w:cs="Calibri"/>
              </w:rPr>
              <w:t>40%</w:t>
            </w:r>
          </w:p>
        </w:tc>
        <w:tc>
          <w:tcPr>
            <w:tcW w:w="2250" w:type="dxa"/>
          </w:tcPr>
          <w:p w14:paraId="001BDFB5" w14:textId="057137B1" w:rsidR="00C320A2" w:rsidRPr="00C320A2" w:rsidRDefault="00C320A2" w:rsidP="00C320A2">
            <w:pPr>
              <w:jc w:val="center"/>
              <w:rPr>
                <w:rFonts w:asciiTheme="minorHAnsi" w:hAnsiTheme="minorHAnsi" w:cstheme="minorHAnsi"/>
              </w:rPr>
            </w:pPr>
            <w:r w:rsidRPr="00C320A2">
              <w:rPr>
                <w:rFonts w:ascii="Calibri" w:hAnsi="Calibri" w:cs="Calibri"/>
              </w:rPr>
              <w:t>60%</w:t>
            </w:r>
          </w:p>
        </w:tc>
      </w:tr>
    </w:tbl>
    <w:p w14:paraId="16615203" w14:textId="4B89DBE9" w:rsidR="00227E56" w:rsidRPr="00C320A2" w:rsidRDefault="00227E56" w:rsidP="00227E56">
      <w:pPr>
        <w:rPr>
          <w:rFonts w:asciiTheme="minorHAnsi" w:hAnsiTheme="minorHAnsi" w:cstheme="minorHAnsi"/>
          <w:b/>
        </w:rPr>
      </w:pPr>
      <w:r w:rsidRPr="00144A5A">
        <w:rPr>
          <w:rFonts w:asciiTheme="minorHAnsi" w:hAnsiTheme="minorHAnsi" w:cstheme="minorHAnsi"/>
        </w:rPr>
        <w:t xml:space="preserve">   </w:t>
      </w:r>
      <w:r w:rsidRPr="00144A5A">
        <w:rPr>
          <w:rFonts w:asciiTheme="minorHAnsi" w:hAnsiTheme="minorHAnsi" w:cstheme="minorHAnsi"/>
          <w:b/>
        </w:rPr>
        <w:tab/>
        <w:t xml:space="preserve">    </w:t>
      </w:r>
      <w:r w:rsidRPr="00144A5A">
        <w:rPr>
          <w:rFonts w:asciiTheme="minorHAnsi" w:hAnsiTheme="minorHAnsi" w:cstheme="minorHAnsi"/>
          <w:b/>
        </w:rPr>
        <w:tab/>
      </w:r>
    </w:p>
    <w:p w14:paraId="2E93ED32" w14:textId="77777777" w:rsidR="00227E56" w:rsidRPr="00144A5A" w:rsidRDefault="00227E56" w:rsidP="00E5604B">
      <w:pPr>
        <w:pStyle w:val="Heading3"/>
        <w:rPr>
          <w:rFonts w:asciiTheme="minorHAnsi" w:hAnsiTheme="minorHAnsi" w:cstheme="minorHAnsi"/>
        </w:rPr>
      </w:pPr>
      <w:r w:rsidRPr="00144A5A">
        <w:rPr>
          <w:rFonts w:asciiTheme="minorHAnsi" w:hAnsiTheme="minorHAnsi" w:cstheme="minorHAnsi"/>
        </w:rPr>
        <w:t>EQUITIES</w:t>
      </w:r>
    </w:p>
    <w:p w14:paraId="49FC9E35" w14:textId="77777777" w:rsidR="00C320A2" w:rsidRDefault="00C320A2" w:rsidP="00227E56">
      <w:pPr>
        <w:rPr>
          <w:rFonts w:asciiTheme="minorHAnsi" w:hAnsiTheme="minorHAnsi" w:cstheme="minorHAnsi"/>
        </w:rPr>
      </w:pPr>
    </w:p>
    <w:p w14:paraId="7BFF622A" w14:textId="41753EF2" w:rsidR="00227E56" w:rsidRPr="00144A5A" w:rsidRDefault="00227E56" w:rsidP="00227E56">
      <w:pPr>
        <w:rPr>
          <w:rFonts w:asciiTheme="minorHAnsi" w:hAnsiTheme="minorHAnsi" w:cstheme="minorHAnsi"/>
        </w:rPr>
      </w:pPr>
      <w:r w:rsidRPr="00144A5A">
        <w:rPr>
          <w:rFonts w:asciiTheme="minorHAnsi" w:hAnsiTheme="minorHAnsi" w:cstheme="minorHAnsi"/>
        </w:rPr>
        <w:t>The equity asset classes should be maintained at risk levels roughly equivalent to the sect</w:t>
      </w:r>
      <w:r w:rsidR="00E5604B" w:rsidRPr="00144A5A">
        <w:rPr>
          <w:rFonts w:asciiTheme="minorHAnsi" w:hAnsiTheme="minorHAnsi" w:cstheme="minorHAnsi"/>
        </w:rPr>
        <w:t xml:space="preserve">ors of the market represented. </w:t>
      </w:r>
      <w:r w:rsidRPr="00144A5A">
        <w:rPr>
          <w:rFonts w:asciiTheme="minorHAnsi" w:hAnsiTheme="minorHAnsi" w:cstheme="minorHAnsi"/>
        </w:rPr>
        <w:t>Mutual funds and exchange traded funds conforming to the policy guidelines maybe used to im</w:t>
      </w:r>
      <w:r w:rsidR="00E5604B" w:rsidRPr="00144A5A">
        <w:rPr>
          <w:rFonts w:asciiTheme="minorHAnsi" w:hAnsiTheme="minorHAnsi" w:cstheme="minorHAnsi"/>
        </w:rPr>
        <w:t>plement the investment program.</w:t>
      </w:r>
      <w:r w:rsidRPr="00144A5A">
        <w:rPr>
          <w:rFonts w:asciiTheme="minorHAnsi" w:hAnsiTheme="minorHAnsi" w:cstheme="minorHAnsi"/>
        </w:rPr>
        <w:t xml:space="preserve"> Equity classes allowed include:</w:t>
      </w:r>
    </w:p>
    <w:p w14:paraId="0F65DEA5" w14:textId="77777777" w:rsidR="00227E56" w:rsidRPr="00144A5A" w:rsidRDefault="00227E56" w:rsidP="00227E56">
      <w:pPr>
        <w:rPr>
          <w:rFonts w:asciiTheme="minorHAnsi" w:hAnsiTheme="minorHAnsi" w:cstheme="minorHAnsi"/>
        </w:rPr>
      </w:pPr>
    </w:p>
    <w:p w14:paraId="521B1D4F" w14:textId="77777777" w:rsidR="00227E56" w:rsidRPr="00144A5A" w:rsidRDefault="00227E56" w:rsidP="00227E56">
      <w:pPr>
        <w:ind w:left="720" w:hanging="720"/>
        <w:rPr>
          <w:rFonts w:asciiTheme="minorHAnsi" w:hAnsiTheme="minorHAnsi" w:cstheme="minorHAnsi"/>
        </w:rPr>
      </w:pPr>
      <w:r w:rsidRPr="00144A5A">
        <w:rPr>
          <w:rFonts w:asciiTheme="minorHAnsi" w:hAnsiTheme="minorHAnsi" w:cstheme="minorHAnsi"/>
        </w:rPr>
        <w:t>1.</w:t>
      </w:r>
      <w:r w:rsidRPr="00144A5A">
        <w:rPr>
          <w:rFonts w:asciiTheme="minorHAnsi" w:hAnsiTheme="minorHAnsi" w:cstheme="minorHAnsi"/>
        </w:rPr>
        <w:tab/>
        <w:t>U.S. Large Capitalization Stocks:</w:t>
      </w:r>
      <w:r w:rsidRPr="00144A5A">
        <w:rPr>
          <w:rFonts w:asciiTheme="minorHAnsi" w:hAnsiTheme="minorHAnsi" w:cstheme="minorHAnsi"/>
        </w:rPr>
        <w:tab/>
        <w:t xml:space="preserve">U.S. based companies having capitalization </w:t>
      </w:r>
    </w:p>
    <w:p w14:paraId="75403078" w14:textId="77777777" w:rsidR="00227E56" w:rsidRPr="00144A5A" w:rsidRDefault="00227E56" w:rsidP="00227E56">
      <w:pPr>
        <w:ind w:left="3600" w:firstLine="720"/>
        <w:rPr>
          <w:rFonts w:asciiTheme="minorHAnsi" w:hAnsiTheme="minorHAnsi" w:cstheme="minorHAnsi"/>
        </w:rPr>
      </w:pPr>
      <w:r w:rsidRPr="00144A5A">
        <w:rPr>
          <w:rFonts w:asciiTheme="minorHAnsi" w:hAnsiTheme="minorHAnsi" w:cstheme="minorHAnsi"/>
        </w:rPr>
        <w:t>over $10 billion.</w:t>
      </w:r>
    </w:p>
    <w:p w14:paraId="3A906474" w14:textId="77777777" w:rsidR="00227E56" w:rsidRPr="00144A5A" w:rsidRDefault="00227E56" w:rsidP="00227E56">
      <w:pPr>
        <w:rPr>
          <w:rFonts w:asciiTheme="minorHAnsi" w:hAnsiTheme="minorHAnsi" w:cstheme="minorHAnsi"/>
        </w:rPr>
      </w:pPr>
    </w:p>
    <w:p w14:paraId="506A8F88" w14:textId="77777777" w:rsidR="00227E56" w:rsidRPr="00144A5A" w:rsidRDefault="00227E56" w:rsidP="00227E56">
      <w:pPr>
        <w:rPr>
          <w:rFonts w:asciiTheme="minorHAnsi" w:hAnsiTheme="minorHAnsi" w:cstheme="minorHAnsi"/>
        </w:rPr>
      </w:pPr>
      <w:r w:rsidRPr="00144A5A">
        <w:rPr>
          <w:rFonts w:asciiTheme="minorHAnsi" w:hAnsiTheme="minorHAnsi" w:cstheme="minorHAnsi"/>
        </w:rPr>
        <w:t>2.</w:t>
      </w:r>
      <w:r w:rsidRPr="00144A5A">
        <w:rPr>
          <w:rFonts w:asciiTheme="minorHAnsi" w:hAnsiTheme="minorHAnsi" w:cstheme="minorHAnsi"/>
        </w:rPr>
        <w:tab/>
        <w:t>U.S. Smaller Capitalization Stocks:</w:t>
      </w:r>
      <w:r w:rsidRPr="00144A5A">
        <w:rPr>
          <w:rFonts w:asciiTheme="minorHAnsi" w:hAnsiTheme="minorHAnsi" w:cstheme="minorHAnsi"/>
        </w:rPr>
        <w:tab/>
        <w:t xml:space="preserve">U.S. based companies having a market </w:t>
      </w:r>
    </w:p>
    <w:p w14:paraId="231122A2" w14:textId="77777777" w:rsidR="00227E56" w:rsidRPr="00144A5A" w:rsidRDefault="00227E56" w:rsidP="00227E56">
      <w:pPr>
        <w:ind w:left="4320"/>
        <w:rPr>
          <w:rFonts w:asciiTheme="minorHAnsi" w:hAnsiTheme="minorHAnsi" w:cstheme="minorHAnsi"/>
        </w:rPr>
      </w:pPr>
      <w:r w:rsidRPr="00144A5A">
        <w:rPr>
          <w:rFonts w:asciiTheme="minorHAnsi" w:hAnsiTheme="minorHAnsi" w:cstheme="minorHAnsi"/>
        </w:rPr>
        <w:t>capitalization between $300 million and $10 billion.</w:t>
      </w:r>
    </w:p>
    <w:p w14:paraId="636A6C9A" w14:textId="77777777" w:rsidR="00227E56" w:rsidRPr="00144A5A" w:rsidRDefault="00227E56" w:rsidP="00227E56">
      <w:pPr>
        <w:rPr>
          <w:rFonts w:asciiTheme="minorHAnsi" w:hAnsiTheme="minorHAnsi" w:cstheme="minorHAnsi"/>
        </w:rPr>
      </w:pPr>
    </w:p>
    <w:p w14:paraId="04D5424A" w14:textId="77777777" w:rsidR="00227E56" w:rsidRPr="00144A5A" w:rsidRDefault="00227E56" w:rsidP="00227E56">
      <w:pPr>
        <w:ind w:left="720" w:hanging="720"/>
        <w:rPr>
          <w:rFonts w:asciiTheme="minorHAnsi" w:hAnsiTheme="minorHAnsi" w:cstheme="minorHAnsi"/>
        </w:rPr>
      </w:pPr>
      <w:r w:rsidRPr="00144A5A">
        <w:rPr>
          <w:rFonts w:asciiTheme="minorHAnsi" w:hAnsiTheme="minorHAnsi" w:cstheme="minorHAnsi"/>
        </w:rPr>
        <w:t>3.</w:t>
      </w:r>
      <w:r w:rsidRPr="00144A5A">
        <w:rPr>
          <w:rFonts w:asciiTheme="minorHAnsi" w:hAnsiTheme="minorHAnsi" w:cstheme="minorHAnsi"/>
        </w:rPr>
        <w:tab/>
        <w:t>International Stocks:</w:t>
      </w:r>
      <w:r w:rsidRPr="00144A5A">
        <w:rPr>
          <w:rFonts w:asciiTheme="minorHAnsi" w:hAnsiTheme="minorHAnsi" w:cstheme="minorHAnsi"/>
        </w:rPr>
        <w:tab/>
      </w:r>
      <w:r w:rsidRPr="00144A5A">
        <w:rPr>
          <w:rFonts w:asciiTheme="minorHAnsi" w:hAnsiTheme="minorHAnsi" w:cstheme="minorHAnsi"/>
        </w:rPr>
        <w:tab/>
      </w:r>
      <w:r w:rsidRPr="00144A5A">
        <w:rPr>
          <w:rFonts w:asciiTheme="minorHAnsi" w:hAnsiTheme="minorHAnsi" w:cstheme="minorHAnsi"/>
        </w:rPr>
        <w:tab/>
        <w:t xml:space="preserve">Stocks of non-U.S. based companies, </w:t>
      </w:r>
    </w:p>
    <w:p w14:paraId="045CCB68" w14:textId="77777777" w:rsidR="00227E56" w:rsidRPr="00144A5A" w:rsidRDefault="00227E56" w:rsidP="00227E56">
      <w:pPr>
        <w:ind w:left="4320"/>
        <w:rPr>
          <w:rFonts w:asciiTheme="minorHAnsi" w:hAnsiTheme="minorHAnsi" w:cstheme="minorHAnsi"/>
        </w:rPr>
      </w:pPr>
      <w:r w:rsidRPr="00144A5A">
        <w:rPr>
          <w:rFonts w:asciiTheme="minorHAnsi" w:hAnsiTheme="minorHAnsi" w:cstheme="minorHAnsi"/>
        </w:rPr>
        <w:t xml:space="preserve">American Depository Receipts, and Exchange Traded Funds.  </w:t>
      </w:r>
    </w:p>
    <w:p w14:paraId="76F402EF" w14:textId="77777777" w:rsidR="00227E56" w:rsidRPr="00144A5A" w:rsidRDefault="00227E56" w:rsidP="00227E56">
      <w:pPr>
        <w:ind w:left="3600" w:firstLine="720"/>
        <w:rPr>
          <w:rFonts w:asciiTheme="minorHAnsi" w:hAnsiTheme="minorHAnsi" w:cstheme="minorHAnsi"/>
        </w:rPr>
      </w:pPr>
    </w:p>
    <w:p w14:paraId="0A2186D6" w14:textId="77777777" w:rsidR="00227E56" w:rsidRPr="00144A5A" w:rsidRDefault="00227E56" w:rsidP="00227E56">
      <w:pPr>
        <w:numPr>
          <w:ilvl w:val="0"/>
          <w:numId w:val="7"/>
        </w:numPr>
        <w:ind w:hanging="720"/>
        <w:rPr>
          <w:rFonts w:asciiTheme="minorHAnsi" w:hAnsiTheme="minorHAnsi" w:cstheme="minorHAnsi"/>
        </w:rPr>
      </w:pPr>
      <w:r w:rsidRPr="00144A5A">
        <w:rPr>
          <w:rFonts w:asciiTheme="minorHAnsi" w:hAnsiTheme="minorHAnsi" w:cstheme="minorHAnsi"/>
        </w:rPr>
        <w:t>The overall market capitalization of the Equity portfolio should average at least 65% of the average capitalization of the S&amp;P 500 Index.</w:t>
      </w:r>
      <w:r w:rsidRPr="00144A5A">
        <w:rPr>
          <w:rFonts w:asciiTheme="minorHAnsi" w:hAnsiTheme="minorHAnsi" w:cstheme="minorHAnsi"/>
        </w:rPr>
        <w:tab/>
      </w:r>
    </w:p>
    <w:p w14:paraId="433E6488" w14:textId="77777777" w:rsidR="00227E56" w:rsidRPr="00144A5A" w:rsidRDefault="00227E56" w:rsidP="00227E56">
      <w:pPr>
        <w:rPr>
          <w:rFonts w:asciiTheme="minorHAnsi" w:hAnsiTheme="minorHAnsi" w:cstheme="minorHAnsi"/>
        </w:rPr>
      </w:pPr>
    </w:p>
    <w:p w14:paraId="4BA3965D" w14:textId="77777777" w:rsidR="00227E56" w:rsidRPr="00144A5A" w:rsidRDefault="00227E56" w:rsidP="00227E56">
      <w:pPr>
        <w:ind w:left="720" w:hanging="720"/>
        <w:rPr>
          <w:rFonts w:asciiTheme="minorHAnsi" w:hAnsiTheme="minorHAnsi" w:cstheme="minorHAnsi"/>
        </w:rPr>
      </w:pPr>
      <w:r w:rsidRPr="00144A5A">
        <w:rPr>
          <w:rFonts w:asciiTheme="minorHAnsi" w:hAnsiTheme="minorHAnsi" w:cstheme="minorHAnsi"/>
        </w:rPr>
        <w:t>5.</w:t>
      </w:r>
      <w:r w:rsidRPr="00144A5A">
        <w:rPr>
          <w:rFonts w:asciiTheme="minorHAnsi" w:hAnsiTheme="minorHAnsi" w:cstheme="minorHAnsi"/>
        </w:rPr>
        <w:tab/>
        <w:t>The international stock commitment should be 10% of total equity investments at maximum.</w:t>
      </w:r>
    </w:p>
    <w:p w14:paraId="5DCC4945" w14:textId="77777777" w:rsidR="00227E56" w:rsidRPr="00144A5A" w:rsidRDefault="00227E56" w:rsidP="00227E56">
      <w:pPr>
        <w:ind w:left="3600" w:firstLine="720"/>
        <w:rPr>
          <w:rFonts w:asciiTheme="minorHAnsi" w:hAnsiTheme="minorHAnsi" w:cstheme="minorHAnsi"/>
          <w:sz w:val="16"/>
          <w:szCs w:val="16"/>
        </w:rPr>
      </w:pPr>
    </w:p>
    <w:p w14:paraId="0123D3F5" w14:textId="77777777" w:rsidR="00E5604B" w:rsidRPr="00144A5A" w:rsidRDefault="00E5604B" w:rsidP="00E5604B">
      <w:pPr>
        <w:pStyle w:val="Heading3"/>
        <w:rPr>
          <w:rFonts w:asciiTheme="minorHAnsi" w:hAnsiTheme="minorHAnsi" w:cstheme="minorHAnsi"/>
        </w:rPr>
      </w:pPr>
    </w:p>
    <w:p w14:paraId="56870318" w14:textId="77777777" w:rsidR="00227E56" w:rsidRPr="00144A5A" w:rsidRDefault="00227E56" w:rsidP="00E5604B">
      <w:pPr>
        <w:pStyle w:val="Heading3"/>
        <w:rPr>
          <w:rFonts w:asciiTheme="minorHAnsi" w:hAnsiTheme="minorHAnsi" w:cstheme="minorHAnsi"/>
        </w:rPr>
      </w:pPr>
      <w:r w:rsidRPr="00144A5A">
        <w:rPr>
          <w:rFonts w:asciiTheme="minorHAnsi" w:hAnsiTheme="minorHAnsi" w:cstheme="minorHAnsi"/>
        </w:rPr>
        <w:t>FIXED INCOME</w:t>
      </w:r>
    </w:p>
    <w:p w14:paraId="189CB24A" w14:textId="77777777" w:rsidR="00C320A2" w:rsidRDefault="00C320A2" w:rsidP="00C320A2">
      <w:pPr>
        <w:rPr>
          <w:rFonts w:asciiTheme="minorHAnsi" w:hAnsiTheme="minorHAnsi" w:cstheme="minorHAnsi"/>
        </w:rPr>
      </w:pPr>
    </w:p>
    <w:p w14:paraId="003EC999" w14:textId="5EC72329" w:rsidR="00C320A2" w:rsidRPr="00C320A2" w:rsidRDefault="00C320A2" w:rsidP="00C320A2">
      <w:pPr>
        <w:rPr>
          <w:rFonts w:asciiTheme="minorHAnsi" w:hAnsiTheme="minorHAnsi" w:cstheme="minorHAnsi"/>
        </w:rPr>
      </w:pPr>
      <w:r w:rsidRPr="00C320A2">
        <w:rPr>
          <w:rFonts w:asciiTheme="minorHAnsi" w:hAnsiTheme="minorHAnsi" w:cstheme="minorHAnsi"/>
        </w:rPr>
        <w:t xml:space="preserve">Investments in fixed income securities will be managed actively to pursue opportunities presented by changes in interest rates, credit ratings, and maturity premiums. Mutual funds conforming to the policy guidelines may be used to implement the investment program. Fixed income investments may include securities issued by the U.S. Government, its agencies, and U.S. or foreign corporations. Bonds should be rated as BAA or higher investment grade by rating services. If an existing bond holding drops below investment grade, the manager should discuss with the Chief Financial Officer. </w:t>
      </w:r>
    </w:p>
    <w:p w14:paraId="25AC51B4" w14:textId="77777777" w:rsidR="00C320A2" w:rsidRDefault="00C320A2" w:rsidP="00C320A2">
      <w:pPr>
        <w:rPr>
          <w:rFonts w:asciiTheme="minorHAnsi" w:hAnsiTheme="minorHAnsi" w:cstheme="minorHAnsi"/>
        </w:rPr>
      </w:pPr>
    </w:p>
    <w:p w14:paraId="00F5D38B" w14:textId="029EEB0F" w:rsidR="00227E56" w:rsidRPr="00144A5A" w:rsidRDefault="00C320A2" w:rsidP="00C320A2">
      <w:pPr>
        <w:rPr>
          <w:rFonts w:asciiTheme="minorHAnsi" w:hAnsiTheme="minorHAnsi" w:cstheme="minorHAnsi"/>
          <w:sz w:val="16"/>
          <w:szCs w:val="16"/>
        </w:rPr>
      </w:pPr>
      <w:r w:rsidRPr="00C320A2">
        <w:rPr>
          <w:rFonts w:asciiTheme="minorHAnsi" w:hAnsiTheme="minorHAnsi" w:cstheme="minorHAnsi"/>
        </w:rPr>
        <w:t>The fixed income portfolio should be managed to have a duration ranging from 75% to 125% of the Barclays Aggregate Index.</w:t>
      </w:r>
    </w:p>
    <w:p w14:paraId="7FD30F55" w14:textId="77777777" w:rsidR="00FD03F5" w:rsidRDefault="00FD03F5" w:rsidP="00E5604B">
      <w:pPr>
        <w:pStyle w:val="Heading3"/>
        <w:rPr>
          <w:rFonts w:asciiTheme="minorHAnsi" w:hAnsiTheme="minorHAnsi" w:cstheme="minorHAnsi"/>
        </w:rPr>
      </w:pPr>
    </w:p>
    <w:p w14:paraId="71C138DC" w14:textId="658D7BCB" w:rsidR="00227E56" w:rsidRPr="00144A5A" w:rsidRDefault="00227E56" w:rsidP="00E5604B">
      <w:pPr>
        <w:pStyle w:val="Heading3"/>
        <w:rPr>
          <w:rFonts w:asciiTheme="minorHAnsi" w:hAnsiTheme="minorHAnsi" w:cstheme="minorHAnsi"/>
        </w:rPr>
      </w:pPr>
      <w:r w:rsidRPr="00144A5A">
        <w:rPr>
          <w:rFonts w:asciiTheme="minorHAnsi" w:hAnsiTheme="minorHAnsi" w:cstheme="minorHAnsi"/>
        </w:rPr>
        <w:t>REPORTING</w:t>
      </w:r>
    </w:p>
    <w:p w14:paraId="4DA80283" w14:textId="77777777" w:rsidR="00C320A2" w:rsidRDefault="00C320A2" w:rsidP="00227E56">
      <w:pPr>
        <w:rPr>
          <w:rFonts w:asciiTheme="minorHAnsi" w:hAnsiTheme="minorHAnsi" w:cstheme="minorHAnsi"/>
        </w:rPr>
      </w:pPr>
    </w:p>
    <w:p w14:paraId="1CAF4710" w14:textId="4E7084EB" w:rsidR="00227E56" w:rsidRPr="00144A5A" w:rsidRDefault="00227E56" w:rsidP="00227E56">
      <w:pPr>
        <w:rPr>
          <w:rFonts w:asciiTheme="minorHAnsi" w:hAnsiTheme="minorHAnsi" w:cstheme="minorHAnsi"/>
        </w:rPr>
      </w:pPr>
      <w:r w:rsidRPr="00144A5A">
        <w:rPr>
          <w:rFonts w:asciiTheme="minorHAnsi" w:hAnsiTheme="minorHAnsi" w:cstheme="minorHAnsi"/>
        </w:rPr>
        <w:t>The manager should prepare and present reports of performance an</w:t>
      </w:r>
      <w:r w:rsidR="00E5604B" w:rsidRPr="00144A5A">
        <w:rPr>
          <w:rFonts w:asciiTheme="minorHAnsi" w:hAnsiTheme="minorHAnsi" w:cstheme="minorHAnsi"/>
        </w:rPr>
        <w:t>d guideline compliance for the f</w:t>
      </w:r>
      <w:r w:rsidRPr="00144A5A">
        <w:rPr>
          <w:rFonts w:asciiTheme="minorHAnsi" w:hAnsiTheme="minorHAnsi" w:cstheme="minorHAnsi"/>
        </w:rPr>
        <w:t xml:space="preserve">inance </w:t>
      </w:r>
      <w:r w:rsidR="00E5604B" w:rsidRPr="00144A5A">
        <w:rPr>
          <w:rFonts w:asciiTheme="minorHAnsi" w:hAnsiTheme="minorHAnsi" w:cstheme="minorHAnsi"/>
        </w:rPr>
        <w:t>and a</w:t>
      </w:r>
      <w:r w:rsidRPr="00144A5A">
        <w:rPr>
          <w:rFonts w:asciiTheme="minorHAnsi" w:hAnsiTheme="minorHAnsi" w:cstheme="minorHAnsi"/>
        </w:rPr>
        <w:t xml:space="preserve">udit </w:t>
      </w:r>
      <w:r w:rsidR="00E5604B" w:rsidRPr="00144A5A">
        <w:rPr>
          <w:rFonts w:asciiTheme="minorHAnsi" w:hAnsiTheme="minorHAnsi" w:cstheme="minorHAnsi"/>
        </w:rPr>
        <w:t>c</w:t>
      </w:r>
      <w:r w:rsidRPr="00144A5A">
        <w:rPr>
          <w:rFonts w:asciiTheme="minorHAnsi" w:hAnsiTheme="minorHAnsi" w:cstheme="minorHAnsi"/>
        </w:rPr>
        <w:t xml:space="preserve">ommittee at least annually.  Similar reports will be provided to </w:t>
      </w:r>
      <w:r w:rsidR="00E5604B" w:rsidRPr="00144A5A">
        <w:rPr>
          <w:rFonts w:asciiTheme="minorHAnsi" w:hAnsiTheme="minorHAnsi" w:cstheme="minorHAnsi"/>
        </w:rPr>
        <w:t xml:space="preserve">&lt;affiliate&gt; </w:t>
      </w:r>
      <w:r w:rsidRPr="00144A5A">
        <w:rPr>
          <w:rFonts w:asciiTheme="minorHAnsi" w:hAnsiTheme="minorHAnsi" w:cstheme="minorHAnsi"/>
        </w:rPr>
        <w:t xml:space="preserve">quarterly. </w:t>
      </w:r>
    </w:p>
    <w:p w14:paraId="0B45E87D" w14:textId="77777777" w:rsidR="00227E56" w:rsidRPr="00144A5A" w:rsidRDefault="00227E56" w:rsidP="00227E56">
      <w:pPr>
        <w:rPr>
          <w:rFonts w:asciiTheme="minorHAnsi" w:hAnsiTheme="minorHAnsi" w:cstheme="minorHAnsi"/>
          <w:sz w:val="16"/>
          <w:szCs w:val="16"/>
        </w:rPr>
      </w:pPr>
    </w:p>
    <w:p w14:paraId="13F4B551" w14:textId="77777777" w:rsidR="002C3888" w:rsidRPr="00144A5A" w:rsidRDefault="00227E56">
      <w:pPr>
        <w:rPr>
          <w:rFonts w:asciiTheme="minorHAnsi" w:hAnsiTheme="minorHAnsi" w:cstheme="minorHAnsi"/>
          <w:sz w:val="20"/>
          <w:szCs w:val="20"/>
        </w:rPr>
      </w:pPr>
      <w:r w:rsidRPr="00144A5A">
        <w:rPr>
          <w:rFonts w:asciiTheme="minorHAnsi" w:hAnsiTheme="minorHAnsi" w:cstheme="minorHAnsi"/>
        </w:rPr>
        <w:t xml:space="preserve">The advisor should prepare and present </w:t>
      </w:r>
      <w:r w:rsidR="00E5604B" w:rsidRPr="00144A5A">
        <w:rPr>
          <w:rFonts w:asciiTheme="minorHAnsi" w:hAnsiTheme="minorHAnsi" w:cstheme="minorHAnsi"/>
        </w:rPr>
        <w:t>reports of fund performance.</w:t>
      </w:r>
    </w:p>
    <w:sectPr w:rsidR="002C3888" w:rsidRPr="00144A5A" w:rsidSect="00E5604B">
      <w:footerReference w:type="even" r:id="rId7"/>
      <w:footerReference w:type="default" r:id="rId8"/>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931E" w14:textId="77777777" w:rsidR="00191872" w:rsidRDefault="00191872">
      <w:r>
        <w:separator/>
      </w:r>
    </w:p>
  </w:endnote>
  <w:endnote w:type="continuationSeparator" w:id="0">
    <w:p w14:paraId="5656E6A1" w14:textId="77777777" w:rsidR="00191872" w:rsidRDefault="0019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D13A" w14:textId="77777777" w:rsidR="000E2171" w:rsidRDefault="000E21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884BB4" w14:textId="77777777" w:rsidR="000E2171" w:rsidRDefault="000E21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B7D3" w14:textId="77777777" w:rsidR="000E2171" w:rsidRDefault="000E21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604B">
      <w:rPr>
        <w:rStyle w:val="PageNumber"/>
        <w:noProof/>
      </w:rPr>
      <w:t>1</w:t>
    </w:r>
    <w:r>
      <w:rPr>
        <w:rStyle w:val="PageNumber"/>
      </w:rPr>
      <w:fldChar w:fldCharType="end"/>
    </w:r>
  </w:p>
  <w:p w14:paraId="6568FFAA" w14:textId="77777777" w:rsidR="000E2171" w:rsidRDefault="000E21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C96DB" w14:textId="77777777" w:rsidR="00191872" w:rsidRDefault="00191872">
      <w:r>
        <w:separator/>
      </w:r>
    </w:p>
  </w:footnote>
  <w:footnote w:type="continuationSeparator" w:id="0">
    <w:p w14:paraId="04AC91C8" w14:textId="77777777" w:rsidR="00191872" w:rsidRDefault="00191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45E3"/>
    <w:multiLevelType w:val="hybridMultilevel"/>
    <w:tmpl w:val="CF28B6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05DDA"/>
    <w:multiLevelType w:val="hybridMultilevel"/>
    <w:tmpl w:val="9CEEF3A8"/>
    <w:lvl w:ilvl="0" w:tplc="1F26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A2EE5"/>
    <w:multiLevelType w:val="hybridMultilevel"/>
    <w:tmpl w:val="6B46BA96"/>
    <w:lvl w:ilvl="0" w:tplc="7F58EA5A">
      <w:start w:val="1"/>
      <w:numFmt w:val="bullet"/>
      <w:lvlText w:val=""/>
      <w:lvlJc w:val="left"/>
      <w:pPr>
        <w:tabs>
          <w:tab w:val="num" w:pos="1440"/>
        </w:tabs>
        <w:ind w:left="144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AB3324"/>
    <w:multiLevelType w:val="hybridMultilevel"/>
    <w:tmpl w:val="742AD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F5507D"/>
    <w:multiLevelType w:val="hybridMultilevel"/>
    <w:tmpl w:val="3CE0E1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606842"/>
    <w:multiLevelType w:val="hybridMultilevel"/>
    <w:tmpl w:val="CC8E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351293"/>
    <w:multiLevelType w:val="hybridMultilevel"/>
    <w:tmpl w:val="8E0830C0"/>
    <w:lvl w:ilvl="0" w:tplc="66E49EE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145D79"/>
    <w:multiLevelType w:val="multilevel"/>
    <w:tmpl w:val="3CE0E1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0AF1D61"/>
    <w:multiLevelType w:val="hybridMultilevel"/>
    <w:tmpl w:val="8CE6F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865AAF"/>
    <w:multiLevelType w:val="hybridMultilevel"/>
    <w:tmpl w:val="7FD45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373437"/>
    <w:multiLevelType w:val="hybridMultilevel"/>
    <w:tmpl w:val="D562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271425"/>
    <w:multiLevelType w:val="hybridMultilevel"/>
    <w:tmpl w:val="663ED7A2"/>
    <w:lvl w:ilvl="0" w:tplc="4F0CF06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6666989"/>
    <w:multiLevelType w:val="hybridMultilevel"/>
    <w:tmpl w:val="5F7C8BD8"/>
    <w:lvl w:ilvl="0" w:tplc="094272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5899295">
    <w:abstractNumId w:val="11"/>
  </w:num>
  <w:num w:numId="2" w16cid:durableId="1599219107">
    <w:abstractNumId w:val="12"/>
  </w:num>
  <w:num w:numId="3" w16cid:durableId="324823768">
    <w:abstractNumId w:val="2"/>
  </w:num>
  <w:num w:numId="4" w16cid:durableId="763115998">
    <w:abstractNumId w:val="0"/>
  </w:num>
  <w:num w:numId="5" w16cid:durableId="805977535">
    <w:abstractNumId w:val="4"/>
  </w:num>
  <w:num w:numId="6" w16cid:durableId="2118216009">
    <w:abstractNumId w:val="7"/>
  </w:num>
  <w:num w:numId="7" w16cid:durableId="1891263902">
    <w:abstractNumId w:val="6"/>
  </w:num>
  <w:num w:numId="8" w16cid:durableId="669716049">
    <w:abstractNumId w:val="8"/>
  </w:num>
  <w:num w:numId="9" w16cid:durableId="2004428627">
    <w:abstractNumId w:val="3"/>
  </w:num>
  <w:num w:numId="10" w16cid:durableId="976644696">
    <w:abstractNumId w:val="9"/>
  </w:num>
  <w:num w:numId="11" w16cid:durableId="1541089538">
    <w:abstractNumId w:val="10"/>
  </w:num>
  <w:num w:numId="12" w16cid:durableId="2045978474">
    <w:abstractNumId w:val="5"/>
  </w:num>
  <w:num w:numId="13" w16cid:durableId="389420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3FC6"/>
    <w:rsid w:val="000418AC"/>
    <w:rsid w:val="00056A0A"/>
    <w:rsid w:val="00073826"/>
    <w:rsid w:val="000D4453"/>
    <w:rsid w:val="000E2171"/>
    <w:rsid w:val="000F4CBF"/>
    <w:rsid w:val="00106ADA"/>
    <w:rsid w:val="0012744B"/>
    <w:rsid w:val="00144A5A"/>
    <w:rsid w:val="00145CF7"/>
    <w:rsid w:val="00166AFA"/>
    <w:rsid w:val="001826D5"/>
    <w:rsid w:val="00187813"/>
    <w:rsid w:val="001915E3"/>
    <w:rsid w:val="00191872"/>
    <w:rsid w:val="00205DA0"/>
    <w:rsid w:val="00227E56"/>
    <w:rsid w:val="00241AD6"/>
    <w:rsid w:val="002C3888"/>
    <w:rsid w:val="002E3D78"/>
    <w:rsid w:val="002F5738"/>
    <w:rsid w:val="00303FA2"/>
    <w:rsid w:val="00312925"/>
    <w:rsid w:val="003668C7"/>
    <w:rsid w:val="00392A0E"/>
    <w:rsid w:val="00396998"/>
    <w:rsid w:val="003C0D6C"/>
    <w:rsid w:val="0041436A"/>
    <w:rsid w:val="00486650"/>
    <w:rsid w:val="004D2910"/>
    <w:rsid w:val="0057367C"/>
    <w:rsid w:val="00677D6B"/>
    <w:rsid w:val="00691D6A"/>
    <w:rsid w:val="00693EA1"/>
    <w:rsid w:val="00733A19"/>
    <w:rsid w:val="007409EB"/>
    <w:rsid w:val="00742E42"/>
    <w:rsid w:val="0077705B"/>
    <w:rsid w:val="0078323D"/>
    <w:rsid w:val="007D31F2"/>
    <w:rsid w:val="0082500B"/>
    <w:rsid w:val="008444B0"/>
    <w:rsid w:val="00847706"/>
    <w:rsid w:val="008A0104"/>
    <w:rsid w:val="008C268A"/>
    <w:rsid w:val="00923335"/>
    <w:rsid w:val="00963617"/>
    <w:rsid w:val="00965A10"/>
    <w:rsid w:val="00986521"/>
    <w:rsid w:val="00996BD6"/>
    <w:rsid w:val="009B08F0"/>
    <w:rsid w:val="009E7C46"/>
    <w:rsid w:val="00A23462"/>
    <w:rsid w:val="00A60209"/>
    <w:rsid w:val="00AD20B4"/>
    <w:rsid w:val="00AF55C8"/>
    <w:rsid w:val="00AF77CA"/>
    <w:rsid w:val="00B5770B"/>
    <w:rsid w:val="00B70C07"/>
    <w:rsid w:val="00BB2A63"/>
    <w:rsid w:val="00BE3FC6"/>
    <w:rsid w:val="00C166D2"/>
    <w:rsid w:val="00C2571B"/>
    <w:rsid w:val="00C320A2"/>
    <w:rsid w:val="00C37724"/>
    <w:rsid w:val="00C538DC"/>
    <w:rsid w:val="00C54596"/>
    <w:rsid w:val="00C715E8"/>
    <w:rsid w:val="00CA220F"/>
    <w:rsid w:val="00D16D90"/>
    <w:rsid w:val="00D2108E"/>
    <w:rsid w:val="00D4452E"/>
    <w:rsid w:val="00D54FFE"/>
    <w:rsid w:val="00E04F4D"/>
    <w:rsid w:val="00E4051D"/>
    <w:rsid w:val="00E55D93"/>
    <w:rsid w:val="00E5604B"/>
    <w:rsid w:val="00E97405"/>
    <w:rsid w:val="00F0245D"/>
    <w:rsid w:val="00F109D2"/>
    <w:rsid w:val="00F155E1"/>
    <w:rsid w:val="00F45324"/>
    <w:rsid w:val="00F56CC4"/>
    <w:rsid w:val="00F83434"/>
    <w:rsid w:val="00FA11C8"/>
    <w:rsid w:val="00FD03F5"/>
    <w:rsid w:val="00FD233C"/>
    <w:rsid w:val="00FF0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D57EE"/>
  <w15:chartTrackingRefBased/>
  <w15:docId w15:val="{1EDC03C5-C5BA-435F-B178-4F69C201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FC6"/>
    <w:rPr>
      <w:sz w:val="24"/>
      <w:szCs w:val="24"/>
    </w:rPr>
  </w:style>
  <w:style w:type="paragraph" w:styleId="Heading1">
    <w:name w:val="heading 1"/>
    <w:basedOn w:val="Normal"/>
    <w:next w:val="Normal"/>
    <w:qFormat/>
    <w:rsid w:val="00BE3FC6"/>
    <w:pPr>
      <w:keepNext/>
      <w:jc w:val="center"/>
      <w:outlineLvl w:val="0"/>
    </w:pPr>
    <w:rPr>
      <w:sz w:val="28"/>
    </w:rPr>
  </w:style>
  <w:style w:type="paragraph" w:styleId="Heading2">
    <w:name w:val="heading 2"/>
    <w:basedOn w:val="Normal"/>
    <w:next w:val="Normal"/>
    <w:qFormat/>
    <w:rsid w:val="00BE3FC6"/>
    <w:pPr>
      <w:keepNext/>
      <w:jc w:val="center"/>
      <w:outlineLvl w:val="1"/>
    </w:pPr>
    <w:rPr>
      <w:b/>
      <w:bCs/>
      <w:u w:val="single"/>
    </w:rPr>
  </w:style>
  <w:style w:type="paragraph" w:styleId="Heading3">
    <w:name w:val="heading 3"/>
    <w:basedOn w:val="Normal"/>
    <w:next w:val="Normal"/>
    <w:qFormat/>
    <w:rsid w:val="00BE3FC6"/>
    <w:pPr>
      <w:keepNext/>
      <w:outlineLvl w:val="2"/>
    </w:pPr>
    <w:rPr>
      <w:b/>
      <w:bCs/>
      <w:u w:val="single"/>
    </w:rPr>
  </w:style>
  <w:style w:type="paragraph" w:styleId="Heading4">
    <w:name w:val="heading 4"/>
    <w:basedOn w:val="Normal"/>
    <w:next w:val="Normal"/>
    <w:qFormat/>
    <w:rsid w:val="00BE3FC6"/>
    <w:pPr>
      <w:keepNext/>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3FC6"/>
    <w:rPr>
      <w:b/>
      <w:sz w:val="22"/>
      <w:szCs w:val="20"/>
    </w:rPr>
  </w:style>
  <w:style w:type="paragraph" w:styleId="BodyText3">
    <w:name w:val="Body Text 3"/>
    <w:basedOn w:val="Normal"/>
    <w:rsid w:val="00BE3FC6"/>
    <w:rPr>
      <w:b/>
      <w:bCs/>
      <w:i/>
      <w:iCs/>
    </w:rPr>
  </w:style>
  <w:style w:type="paragraph" w:styleId="Footer">
    <w:name w:val="footer"/>
    <w:basedOn w:val="Normal"/>
    <w:rsid w:val="00BE3FC6"/>
    <w:pPr>
      <w:tabs>
        <w:tab w:val="center" w:pos="4320"/>
        <w:tab w:val="right" w:pos="8640"/>
      </w:tabs>
    </w:pPr>
  </w:style>
  <w:style w:type="character" w:styleId="PageNumber">
    <w:name w:val="page number"/>
    <w:basedOn w:val="DefaultParagraphFont"/>
    <w:rsid w:val="00BE3FC6"/>
  </w:style>
  <w:style w:type="paragraph" w:styleId="BodyText2">
    <w:name w:val="Body Text 2"/>
    <w:basedOn w:val="Normal"/>
    <w:link w:val="BodyText2Char"/>
    <w:rsid w:val="00BB2A63"/>
    <w:pPr>
      <w:spacing w:after="120" w:line="480" w:lineRule="auto"/>
    </w:pPr>
  </w:style>
  <w:style w:type="character" w:customStyle="1" w:styleId="BodyText2Char">
    <w:name w:val="Body Text 2 Char"/>
    <w:link w:val="BodyText2"/>
    <w:rsid w:val="00BB2A63"/>
    <w:rPr>
      <w:sz w:val="24"/>
      <w:szCs w:val="24"/>
    </w:rPr>
  </w:style>
  <w:style w:type="paragraph" w:styleId="Header">
    <w:name w:val="header"/>
    <w:basedOn w:val="Normal"/>
    <w:link w:val="HeaderChar"/>
    <w:rsid w:val="00BB2A63"/>
    <w:pPr>
      <w:tabs>
        <w:tab w:val="center" w:pos="4320"/>
        <w:tab w:val="right" w:pos="8640"/>
      </w:tabs>
    </w:pPr>
    <w:rPr>
      <w:sz w:val="20"/>
      <w:szCs w:val="20"/>
    </w:rPr>
  </w:style>
  <w:style w:type="character" w:customStyle="1" w:styleId="HeaderChar">
    <w:name w:val="Header Char"/>
    <w:basedOn w:val="DefaultParagraphFont"/>
    <w:link w:val="Header"/>
    <w:rsid w:val="00BB2A63"/>
  </w:style>
  <w:style w:type="paragraph" w:styleId="Title">
    <w:name w:val="Title"/>
    <w:basedOn w:val="Normal"/>
    <w:link w:val="TitleChar"/>
    <w:qFormat/>
    <w:rsid w:val="002C3888"/>
    <w:pPr>
      <w:jc w:val="center"/>
    </w:pPr>
    <w:rPr>
      <w:b/>
      <w:bCs/>
      <w:sz w:val="28"/>
    </w:rPr>
  </w:style>
  <w:style w:type="character" w:customStyle="1" w:styleId="TitleChar">
    <w:name w:val="Title Char"/>
    <w:link w:val="Title"/>
    <w:rsid w:val="002C3888"/>
    <w:rPr>
      <w:b/>
      <w:bCs/>
      <w:sz w:val="28"/>
      <w:szCs w:val="24"/>
    </w:rPr>
  </w:style>
  <w:style w:type="paragraph" w:styleId="NoSpacing">
    <w:name w:val="No Spacing"/>
    <w:uiPriority w:val="1"/>
    <w:qFormat/>
    <w:rsid w:val="00E5604B"/>
    <w:rPr>
      <w:sz w:val="24"/>
      <w:szCs w:val="24"/>
    </w:rPr>
  </w:style>
  <w:style w:type="paragraph" w:customStyle="1" w:styleId="Default">
    <w:name w:val="Default"/>
    <w:rsid w:val="00144A5A"/>
    <w:pPr>
      <w:autoSpaceDE w:val="0"/>
      <w:autoSpaceDN w:val="0"/>
      <w:adjustRightInd w:val="0"/>
    </w:pPr>
    <w:rPr>
      <w:color w:val="000000"/>
      <w:sz w:val="24"/>
      <w:szCs w:val="24"/>
    </w:rPr>
  </w:style>
  <w:style w:type="table" w:styleId="TableGrid">
    <w:name w:val="Table Grid"/>
    <w:basedOn w:val="TableNormal"/>
    <w:rsid w:val="00C3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0A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03EBF1EDBC741AEAFEEF68A426D50" ma:contentTypeVersion="4" ma:contentTypeDescription="Create a new document." ma:contentTypeScope="" ma:versionID="1f0b3af9d03a690c1fe60a6f31765c70">
  <xsd:schema xmlns:xsd="http://www.w3.org/2001/XMLSchema" xmlns:xs="http://www.w3.org/2001/XMLSchema" xmlns:p="http://schemas.microsoft.com/office/2006/metadata/properties" xmlns:ns2="66372a9a-3d52-47b7-8e5d-6e5a7dc53715" targetNamespace="http://schemas.microsoft.com/office/2006/metadata/properties" ma:root="true" ma:fieldsID="a7866150e886635e3fada14269348d34" ns2:_="">
    <xsd:import namespace="66372a9a-3d52-47b7-8e5d-6e5a7dc537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2a9a-3d52-47b7-8e5d-6e5a7dc53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4A5D6-B49D-40C9-8FBD-16D57D3A3D63}"/>
</file>

<file path=customXml/itemProps2.xml><?xml version="1.0" encoding="utf-8"?>
<ds:datastoreItem xmlns:ds="http://schemas.openxmlformats.org/officeDocument/2006/customXml" ds:itemID="{85648484-8AF8-4509-993E-DE00D8FD4263}"/>
</file>

<file path=customXml/itemProps3.xml><?xml version="1.0" encoding="utf-8"?>
<ds:datastoreItem xmlns:ds="http://schemas.openxmlformats.org/officeDocument/2006/customXml" ds:itemID="{F0F017D4-E06C-4AB2-BF7A-57D2B69EDF37}"/>
</file>

<file path=docProps/app.xml><?xml version="1.0" encoding="utf-8"?>
<Properties xmlns="http://schemas.openxmlformats.org/officeDocument/2006/extended-properties" xmlns:vt="http://schemas.openxmlformats.org/officeDocument/2006/docPropsVTypes">
  <Template>Normal</Template>
  <TotalTime>13</TotalTime>
  <Pages>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SUBJECT:  INVESTMENT POLICY</vt:lpstr>
    </vt:vector>
  </TitlesOfParts>
  <Company>Segall Bryant &amp; hamill</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INVESTMENT POLICY</dc:title>
  <dc:subject/>
  <dc:creator>Carrie Murphy</dc:creator>
  <cp:keywords/>
  <dc:description/>
  <cp:lastModifiedBy>Carrie Kiley</cp:lastModifiedBy>
  <cp:revision>3</cp:revision>
  <cp:lastPrinted>2008-05-06T18:48:00Z</cp:lastPrinted>
  <dcterms:created xsi:type="dcterms:W3CDTF">2022-05-10T21:44:00Z</dcterms:created>
  <dcterms:modified xsi:type="dcterms:W3CDTF">2022-05-10T21:59:00Z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0x010100E5F03EBF1EDBC741AEAFEEF68A426D50</vt:lpwstr>
  </property>
</Properties>
</file>