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E5436" w14:textId="77777777" w:rsidR="00D73728" w:rsidRPr="00E511C7" w:rsidRDefault="00D73728" w:rsidP="00D73728">
      <w:pPr>
        <w:jc w:val="right"/>
        <w:outlineLvl w:val="0"/>
        <w:rPr>
          <w:sz w:val="20"/>
          <w:szCs w:val="20"/>
        </w:rPr>
      </w:pPr>
      <w:r w:rsidRPr="00E511C7">
        <w:rPr>
          <w:sz w:val="20"/>
          <w:szCs w:val="20"/>
        </w:rPr>
        <w:t xml:space="preserve">Effective Date: </w:t>
      </w:r>
    </w:p>
    <w:p w14:paraId="3E816679" w14:textId="77777777" w:rsidR="00D73728" w:rsidRPr="00E511C7" w:rsidRDefault="00D73728" w:rsidP="00D73728">
      <w:pPr>
        <w:jc w:val="right"/>
        <w:rPr>
          <w:sz w:val="20"/>
          <w:szCs w:val="20"/>
        </w:rPr>
      </w:pPr>
      <w:r w:rsidRPr="00E511C7">
        <w:rPr>
          <w:sz w:val="20"/>
          <w:szCs w:val="20"/>
        </w:rPr>
        <w:t xml:space="preserve">Revision Date: </w:t>
      </w:r>
    </w:p>
    <w:p w14:paraId="0544F50B" w14:textId="77777777" w:rsidR="00D73728" w:rsidRPr="00E511C7" w:rsidRDefault="00D73728" w:rsidP="00D73728">
      <w:pPr>
        <w:jc w:val="right"/>
        <w:rPr>
          <w:sz w:val="20"/>
          <w:szCs w:val="20"/>
        </w:rPr>
      </w:pPr>
      <w:r w:rsidRPr="00E511C7">
        <w:rPr>
          <w:sz w:val="20"/>
          <w:szCs w:val="20"/>
        </w:rPr>
        <w:t xml:space="preserve">Approved: </w:t>
      </w:r>
    </w:p>
    <w:p w14:paraId="41796C9B" w14:textId="77777777" w:rsidR="00D73728" w:rsidRPr="00E511C7" w:rsidRDefault="00D73728" w:rsidP="00D73728">
      <w:pPr>
        <w:jc w:val="right"/>
        <w:rPr>
          <w:sz w:val="20"/>
          <w:szCs w:val="20"/>
        </w:rPr>
      </w:pPr>
      <w:r w:rsidRPr="00E511C7">
        <w:rPr>
          <w:sz w:val="20"/>
          <w:szCs w:val="20"/>
        </w:rPr>
        <w:t xml:space="preserve">Review Date: </w:t>
      </w:r>
    </w:p>
    <w:p w14:paraId="6A484654" w14:textId="77777777" w:rsidR="00FC4CB3" w:rsidRPr="00A17459" w:rsidRDefault="00FC4CB3">
      <w:pPr>
        <w:pStyle w:val="Heading1"/>
        <w:jc w:val="left"/>
        <w:rPr>
          <w:sz w:val="16"/>
          <w:szCs w:val="16"/>
        </w:rPr>
      </w:pPr>
    </w:p>
    <w:p w14:paraId="71BF046A" w14:textId="77777777" w:rsidR="009078C7" w:rsidRPr="006B0F35" w:rsidRDefault="009078C7" w:rsidP="009078C7">
      <w:pPr>
        <w:pStyle w:val="Heading2"/>
        <w:rPr>
          <w:rFonts w:ascii="Calibri" w:hAnsi="Calibri"/>
          <w:sz w:val="32"/>
          <w:szCs w:val="32"/>
        </w:rPr>
      </w:pPr>
      <w:r w:rsidRPr="006B0F35">
        <w:rPr>
          <w:rFonts w:ascii="Calibri" w:hAnsi="Calibri"/>
          <w:sz w:val="32"/>
          <w:szCs w:val="32"/>
        </w:rPr>
        <w:t>Credit Policy Template</w:t>
      </w:r>
    </w:p>
    <w:p w14:paraId="48195908" w14:textId="77777777" w:rsidR="009078C7" w:rsidRDefault="009078C7">
      <w:pPr>
        <w:pStyle w:val="Heading2"/>
        <w:jc w:val="left"/>
        <w:rPr>
          <w:u w:val="none"/>
        </w:rPr>
      </w:pPr>
    </w:p>
    <w:p w14:paraId="0F7971EF" w14:textId="77777777" w:rsidR="009078C7" w:rsidRPr="006B0F35" w:rsidRDefault="009078C7">
      <w:pPr>
        <w:rPr>
          <w:rFonts w:ascii="Calibri" w:hAnsi="Calibri"/>
          <w:color w:val="0070C0"/>
        </w:rPr>
      </w:pPr>
      <w:r w:rsidRPr="006B0F35">
        <w:rPr>
          <w:rFonts w:ascii="Calibri" w:hAnsi="Calibri"/>
          <w:color w:val="0070C0"/>
        </w:rPr>
        <w:t>The affiliate may use this information as a guide in developing a policy applicable to the affiliate.</w:t>
      </w:r>
    </w:p>
    <w:p w14:paraId="41149220" w14:textId="77777777" w:rsidR="009078C7" w:rsidRPr="006B0F35" w:rsidRDefault="009078C7">
      <w:pPr>
        <w:rPr>
          <w:rFonts w:ascii="Calibri" w:hAnsi="Calibri"/>
        </w:rPr>
      </w:pPr>
    </w:p>
    <w:p w14:paraId="4D36A739" w14:textId="77777777" w:rsidR="00FC4CB3" w:rsidRPr="006B0F35" w:rsidRDefault="0011355F">
      <w:pPr>
        <w:rPr>
          <w:rFonts w:ascii="Calibri" w:hAnsi="Calibri"/>
        </w:rPr>
      </w:pPr>
      <w:r w:rsidRPr="006B0F35">
        <w:rPr>
          <w:rFonts w:ascii="Calibri" w:hAnsi="Calibri"/>
        </w:rPr>
        <w:t>The purpose of the c</w:t>
      </w:r>
      <w:r w:rsidR="00FC4CB3" w:rsidRPr="006B0F35">
        <w:rPr>
          <w:rFonts w:ascii="Calibri" w:hAnsi="Calibri"/>
        </w:rPr>
        <w:t xml:space="preserve">redit policy is to define the parameters in which the </w:t>
      </w:r>
      <w:r w:rsidRPr="006B0F35">
        <w:rPr>
          <w:rFonts w:ascii="Calibri" w:hAnsi="Calibri"/>
        </w:rPr>
        <w:t>&lt;affiliate&gt;</w:t>
      </w:r>
      <w:r w:rsidR="00FC4CB3" w:rsidRPr="006B0F35">
        <w:rPr>
          <w:rFonts w:ascii="Calibri" w:hAnsi="Calibri"/>
        </w:rPr>
        <w:t xml:space="preserve"> provide credit to its customers and the implications in the event that a customer does not provide payment in a timely fashion.</w:t>
      </w:r>
    </w:p>
    <w:p w14:paraId="44BA0821" w14:textId="77777777" w:rsidR="00FC4CB3" w:rsidRPr="006B0F35" w:rsidRDefault="00FC4CB3">
      <w:pPr>
        <w:rPr>
          <w:rFonts w:ascii="Calibri" w:hAnsi="Calibri"/>
        </w:rPr>
      </w:pPr>
    </w:p>
    <w:p w14:paraId="2FD6AC56" w14:textId="77777777" w:rsidR="00FC4CB3" w:rsidRPr="006B0F35" w:rsidRDefault="00FC4CB3">
      <w:pPr>
        <w:pStyle w:val="Heading2"/>
        <w:jc w:val="left"/>
        <w:rPr>
          <w:rFonts w:ascii="Calibri" w:hAnsi="Calibri"/>
          <w:u w:val="none"/>
        </w:rPr>
      </w:pPr>
      <w:r w:rsidRPr="006B0F35">
        <w:rPr>
          <w:rFonts w:ascii="Calibri" w:hAnsi="Calibri"/>
          <w:u w:val="none"/>
        </w:rPr>
        <w:t>PROCEDURES:</w:t>
      </w:r>
    </w:p>
    <w:p w14:paraId="599E2A9E" w14:textId="674C99C6" w:rsidR="00FC4CB3" w:rsidRPr="006B0F35" w:rsidRDefault="00FC4CB3">
      <w:pPr>
        <w:rPr>
          <w:rFonts w:ascii="Calibri" w:hAnsi="Calibri"/>
        </w:rPr>
      </w:pPr>
      <w:r w:rsidRPr="006B0F35">
        <w:rPr>
          <w:rFonts w:ascii="Calibri" w:hAnsi="Calibri"/>
        </w:rPr>
        <w:t xml:space="preserve">It is the policy of the </w:t>
      </w:r>
      <w:r w:rsidR="0011355F" w:rsidRPr="006B0F35">
        <w:rPr>
          <w:rFonts w:ascii="Calibri" w:hAnsi="Calibri"/>
        </w:rPr>
        <w:t>affiliate</w:t>
      </w:r>
      <w:r w:rsidRPr="006B0F35">
        <w:rPr>
          <w:rFonts w:ascii="Calibri" w:hAnsi="Calibri"/>
        </w:rPr>
        <w:t xml:space="preserve"> to only accept credit card orders from individuals</w:t>
      </w:r>
      <w:r w:rsidR="0011355F" w:rsidRPr="006B0F35">
        <w:rPr>
          <w:rFonts w:ascii="Calibri" w:hAnsi="Calibri"/>
        </w:rPr>
        <w:t>, both members and non-members.</w:t>
      </w:r>
      <w:r w:rsidRPr="006B0F35">
        <w:rPr>
          <w:rFonts w:ascii="Calibri" w:hAnsi="Calibri"/>
        </w:rPr>
        <w:t xml:space="preserve"> Institutions may purchase products and services utilizing one of the following </w:t>
      </w:r>
      <w:proofErr w:type="gramStart"/>
      <w:r w:rsidRPr="006B0F35">
        <w:rPr>
          <w:rFonts w:ascii="Calibri" w:hAnsi="Calibri"/>
        </w:rPr>
        <w:t>instruments;</w:t>
      </w:r>
      <w:proofErr w:type="gramEnd"/>
      <w:r w:rsidRPr="006B0F35">
        <w:rPr>
          <w:rFonts w:ascii="Calibri" w:hAnsi="Calibri"/>
        </w:rPr>
        <w:t xml:space="preserve"> credit card, purchase or</w:t>
      </w:r>
      <w:r w:rsidR="0011355F" w:rsidRPr="006B0F35">
        <w:rPr>
          <w:rFonts w:ascii="Calibri" w:hAnsi="Calibri"/>
        </w:rPr>
        <w:t>der</w:t>
      </w:r>
      <w:r w:rsidR="00B06BE7">
        <w:rPr>
          <w:rFonts w:ascii="Calibri" w:hAnsi="Calibri"/>
        </w:rPr>
        <w:t>,</w:t>
      </w:r>
      <w:r w:rsidR="0011355F" w:rsidRPr="006B0F35">
        <w:rPr>
          <w:rFonts w:ascii="Calibri" w:hAnsi="Calibri"/>
        </w:rPr>
        <w:t xml:space="preserve"> or contractual agreement. </w:t>
      </w:r>
      <w:r w:rsidRPr="006B0F35">
        <w:rPr>
          <w:rFonts w:ascii="Calibri" w:hAnsi="Calibri"/>
        </w:rPr>
        <w:t>As such, the following procedures will need to be followed:</w:t>
      </w:r>
    </w:p>
    <w:p w14:paraId="23D5E543" w14:textId="77777777" w:rsidR="00FC4CB3" w:rsidRPr="006B0F35" w:rsidRDefault="00FC4CB3">
      <w:pPr>
        <w:rPr>
          <w:rFonts w:ascii="Calibri" w:hAnsi="Calibri"/>
        </w:rPr>
      </w:pPr>
    </w:p>
    <w:p w14:paraId="5FC90A76" w14:textId="196D4798" w:rsidR="005F61CA" w:rsidRPr="006B0F35" w:rsidRDefault="00FC4CB3" w:rsidP="0011355F">
      <w:pPr>
        <w:numPr>
          <w:ilvl w:val="0"/>
          <w:numId w:val="10"/>
        </w:numPr>
        <w:rPr>
          <w:rFonts w:ascii="Calibri" w:hAnsi="Calibri"/>
        </w:rPr>
      </w:pPr>
      <w:r w:rsidRPr="006B0F35">
        <w:rPr>
          <w:rFonts w:ascii="Calibri" w:hAnsi="Calibri"/>
        </w:rPr>
        <w:t xml:space="preserve">Invoice generated within </w:t>
      </w:r>
      <w:r w:rsidR="00B06BE7">
        <w:rPr>
          <w:rFonts w:ascii="Calibri" w:hAnsi="Calibri"/>
        </w:rPr>
        <w:t>three</w:t>
      </w:r>
      <w:r w:rsidRPr="006B0F35">
        <w:rPr>
          <w:rFonts w:ascii="Calibri" w:hAnsi="Calibri"/>
        </w:rPr>
        <w:t xml:space="preserve"> (</w:t>
      </w:r>
      <w:r w:rsidR="00B06BE7">
        <w:rPr>
          <w:rFonts w:ascii="Calibri" w:hAnsi="Calibri"/>
        </w:rPr>
        <w:t>3</w:t>
      </w:r>
      <w:r w:rsidRPr="006B0F35">
        <w:rPr>
          <w:rFonts w:ascii="Calibri" w:hAnsi="Calibri"/>
        </w:rPr>
        <w:t>) business day</w:t>
      </w:r>
      <w:r w:rsidR="00B06BE7">
        <w:rPr>
          <w:rFonts w:ascii="Calibri" w:hAnsi="Calibri"/>
        </w:rPr>
        <w:t>s</w:t>
      </w:r>
      <w:r w:rsidRPr="006B0F35">
        <w:rPr>
          <w:rFonts w:ascii="Calibri" w:hAnsi="Calibri"/>
        </w:rPr>
        <w:t xml:space="preserve"> of order or order shipment</w:t>
      </w:r>
    </w:p>
    <w:p w14:paraId="3EA349E0" w14:textId="77777777" w:rsidR="005F61CA" w:rsidRPr="006B0F35" w:rsidRDefault="005F61CA" w:rsidP="005F61CA">
      <w:pPr>
        <w:rPr>
          <w:rFonts w:ascii="Calibri" w:hAnsi="Calibri"/>
        </w:rPr>
      </w:pPr>
    </w:p>
    <w:p w14:paraId="1955FDA1" w14:textId="77777777" w:rsidR="00FC4CB3" w:rsidRPr="006B0F35" w:rsidRDefault="00FC4CB3" w:rsidP="0011355F">
      <w:pPr>
        <w:numPr>
          <w:ilvl w:val="0"/>
          <w:numId w:val="10"/>
        </w:numPr>
        <w:rPr>
          <w:rFonts w:ascii="Calibri" w:hAnsi="Calibri"/>
          <w:i/>
          <w:iCs/>
        </w:rPr>
      </w:pPr>
      <w:r w:rsidRPr="006B0F35">
        <w:rPr>
          <w:rFonts w:ascii="Calibri" w:hAnsi="Calibri"/>
        </w:rPr>
        <w:t>All orders will have a net thirty (30) day payment requirement unless defined otherwise through contractual arrangements</w:t>
      </w:r>
    </w:p>
    <w:p w14:paraId="12EFC882" w14:textId="77777777" w:rsidR="005F61CA" w:rsidRPr="006B0F35" w:rsidRDefault="005F61CA" w:rsidP="005F61CA">
      <w:pPr>
        <w:rPr>
          <w:rFonts w:ascii="Calibri" w:hAnsi="Calibri"/>
          <w:iCs/>
        </w:rPr>
      </w:pPr>
    </w:p>
    <w:p w14:paraId="13EBCD7D" w14:textId="106046E6" w:rsidR="00FC4CB3" w:rsidRPr="006B0F35" w:rsidRDefault="00FC4CB3" w:rsidP="0011355F">
      <w:pPr>
        <w:numPr>
          <w:ilvl w:val="0"/>
          <w:numId w:val="10"/>
        </w:numPr>
        <w:rPr>
          <w:rFonts w:ascii="Calibri" w:hAnsi="Calibri"/>
          <w:i/>
          <w:iCs/>
        </w:rPr>
      </w:pPr>
      <w:r w:rsidRPr="006B0F35">
        <w:rPr>
          <w:rFonts w:ascii="Calibri" w:hAnsi="Calibri"/>
        </w:rPr>
        <w:t xml:space="preserve">Thirty (30) days after the date of the original invoice, statements will be </w:t>
      </w:r>
      <w:r w:rsidR="00B06BE7">
        <w:rPr>
          <w:rFonts w:ascii="Calibri" w:hAnsi="Calibri"/>
        </w:rPr>
        <w:t>e</w:t>
      </w:r>
      <w:r w:rsidRPr="006B0F35">
        <w:rPr>
          <w:rFonts w:ascii="Calibri" w:hAnsi="Calibri"/>
        </w:rPr>
        <w:t>mailed to customers accompanied by copies of outstanding invoices</w:t>
      </w:r>
    </w:p>
    <w:p w14:paraId="5836F8F8" w14:textId="77777777" w:rsidR="005F61CA" w:rsidRPr="006B0F35" w:rsidRDefault="005F61CA" w:rsidP="005F61CA">
      <w:pPr>
        <w:rPr>
          <w:rFonts w:ascii="Calibri" w:hAnsi="Calibri"/>
          <w:iCs/>
        </w:rPr>
      </w:pPr>
    </w:p>
    <w:p w14:paraId="4FFA23A6" w14:textId="23144DE2" w:rsidR="00FC4CB3" w:rsidRPr="006B0F35" w:rsidRDefault="00FC4CB3" w:rsidP="0011355F">
      <w:pPr>
        <w:numPr>
          <w:ilvl w:val="0"/>
          <w:numId w:val="10"/>
        </w:numPr>
        <w:rPr>
          <w:rFonts w:ascii="Calibri" w:hAnsi="Calibri"/>
          <w:i/>
          <w:iCs/>
        </w:rPr>
      </w:pPr>
      <w:r w:rsidRPr="006B0F35">
        <w:rPr>
          <w:rFonts w:ascii="Calibri" w:hAnsi="Calibri"/>
        </w:rPr>
        <w:t xml:space="preserve">Sixty (60) days after the date of the original invoice, a final notice of collection will be issued informing the customer that if they do not </w:t>
      </w:r>
      <w:r w:rsidR="0011355F" w:rsidRPr="006B0F35">
        <w:rPr>
          <w:rFonts w:ascii="Calibri" w:hAnsi="Calibri"/>
        </w:rPr>
        <w:t xml:space="preserve">pay within 5 business days, the </w:t>
      </w:r>
      <w:r w:rsidR="00B06BE7" w:rsidRPr="006B0F35">
        <w:rPr>
          <w:rFonts w:ascii="Calibri" w:hAnsi="Calibri"/>
        </w:rPr>
        <w:t>affiliate</w:t>
      </w:r>
      <w:r w:rsidRPr="006B0F35">
        <w:rPr>
          <w:rFonts w:ascii="Calibri" w:hAnsi="Calibri"/>
        </w:rPr>
        <w:t xml:space="preserve"> will take the following steps:</w:t>
      </w:r>
    </w:p>
    <w:p w14:paraId="4A36842D" w14:textId="77777777" w:rsidR="00FC4CB3" w:rsidRPr="006B0F35" w:rsidRDefault="00FC4CB3" w:rsidP="0011355F">
      <w:pPr>
        <w:numPr>
          <w:ilvl w:val="2"/>
          <w:numId w:val="11"/>
        </w:numPr>
        <w:tabs>
          <w:tab w:val="left" w:pos="1440"/>
        </w:tabs>
        <w:rPr>
          <w:rFonts w:ascii="Calibri" w:hAnsi="Calibri"/>
          <w:i/>
          <w:iCs/>
        </w:rPr>
      </w:pPr>
      <w:r w:rsidRPr="006B0F35">
        <w:rPr>
          <w:rFonts w:ascii="Calibri" w:hAnsi="Calibri"/>
        </w:rPr>
        <w:t>Interest will be charged retroactive to day thirty (30), and at appropriate rates</w:t>
      </w:r>
    </w:p>
    <w:p w14:paraId="28798944" w14:textId="644548EC" w:rsidR="00FC4CB3" w:rsidRPr="006B0F35" w:rsidRDefault="00FC4CB3" w:rsidP="0011355F">
      <w:pPr>
        <w:numPr>
          <w:ilvl w:val="2"/>
          <w:numId w:val="11"/>
        </w:numPr>
        <w:tabs>
          <w:tab w:val="left" w:pos="1440"/>
          <w:tab w:val="left" w:pos="1890"/>
        </w:tabs>
        <w:rPr>
          <w:rFonts w:ascii="Calibri" w:hAnsi="Calibri"/>
          <w:i/>
          <w:iCs/>
        </w:rPr>
      </w:pPr>
      <w:r w:rsidRPr="006B0F35">
        <w:rPr>
          <w:rFonts w:ascii="Calibri" w:hAnsi="Calibri"/>
        </w:rPr>
        <w:t xml:space="preserve">Accounts will be stopped from purchasing any additional products or services from the </w:t>
      </w:r>
      <w:r w:rsidR="0011355F" w:rsidRPr="006B0F35">
        <w:rPr>
          <w:rFonts w:ascii="Calibri" w:hAnsi="Calibri"/>
        </w:rPr>
        <w:t>affiliate.</w:t>
      </w:r>
    </w:p>
    <w:p w14:paraId="5993C427" w14:textId="77777777" w:rsidR="00FC4CB3" w:rsidRPr="006B0F35" w:rsidRDefault="00FC4CB3" w:rsidP="0011355F">
      <w:pPr>
        <w:numPr>
          <w:ilvl w:val="2"/>
          <w:numId w:val="11"/>
        </w:numPr>
        <w:tabs>
          <w:tab w:val="left" w:pos="1440"/>
        </w:tabs>
        <w:rPr>
          <w:rFonts w:ascii="Calibri" w:hAnsi="Calibri"/>
          <w:i/>
          <w:iCs/>
        </w:rPr>
      </w:pPr>
      <w:r w:rsidRPr="006B0F35">
        <w:rPr>
          <w:rFonts w:ascii="Calibri" w:hAnsi="Calibri"/>
        </w:rPr>
        <w:t>If the amount owed is less than $1,000, the account will be turne</w:t>
      </w:r>
      <w:r w:rsidR="0011355F" w:rsidRPr="006B0F35">
        <w:rPr>
          <w:rFonts w:ascii="Calibri" w:hAnsi="Calibri"/>
        </w:rPr>
        <w:t xml:space="preserve">d over to a collection agency. </w:t>
      </w:r>
      <w:r w:rsidRPr="006B0F35">
        <w:rPr>
          <w:rFonts w:ascii="Calibri" w:hAnsi="Calibri"/>
        </w:rPr>
        <w:t>In this event, the customer will be responsible for all additional fees.</w:t>
      </w:r>
    </w:p>
    <w:p w14:paraId="14D8ECD4" w14:textId="39A4089D" w:rsidR="00FC4CB3" w:rsidRPr="006B0F35" w:rsidRDefault="00FC4CB3" w:rsidP="0011355F">
      <w:pPr>
        <w:numPr>
          <w:ilvl w:val="2"/>
          <w:numId w:val="11"/>
        </w:numPr>
        <w:tabs>
          <w:tab w:val="left" w:pos="1440"/>
        </w:tabs>
        <w:rPr>
          <w:rFonts w:ascii="Calibri" w:hAnsi="Calibri"/>
          <w:i/>
          <w:iCs/>
        </w:rPr>
      </w:pPr>
      <w:r w:rsidRPr="006B0F35">
        <w:rPr>
          <w:rFonts w:ascii="Calibri" w:hAnsi="Calibri"/>
        </w:rPr>
        <w:t xml:space="preserve">If the amount owed is greater than $1,000, the account will be handled by the </w:t>
      </w:r>
      <w:r w:rsidR="0011355F" w:rsidRPr="006B0F35">
        <w:rPr>
          <w:rFonts w:ascii="Calibri" w:hAnsi="Calibri"/>
        </w:rPr>
        <w:t xml:space="preserve">affiliate’s attorney. </w:t>
      </w:r>
      <w:r w:rsidRPr="006B0F35">
        <w:rPr>
          <w:rFonts w:ascii="Calibri" w:hAnsi="Calibri"/>
        </w:rPr>
        <w:t>In this event, the customer will be responsible for all additional fees</w:t>
      </w:r>
      <w:r w:rsidR="00B06BE7">
        <w:rPr>
          <w:rFonts w:ascii="Calibri" w:hAnsi="Calibri"/>
        </w:rPr>
        <w:t xml:space="preserve"> associated with the collection.</w:t>
      </w:r>
    </w:p>
    <w:p w14:paraId="610240A1" w14:textId="77777777" w:rsidR="00FC4CB3" w:rsidRPr="006B0F35" w:rsidRDefault="00FC4CB3">
      <w:pPr>
        <w:tabs>
          <w:tab w:val="left" w:pos="1440"/>
        </w:tabs>
        <w:rPr>
          <w:rFonts w:ascii="Calibri" w:hAnsi="Calibri"/>
        </w:rPr>
      </w:pPr>
    </w:p>
    <w:p w14:paraId="2E76427F" w14:textId="77777777" w:rsidR="00FC4CB3" w:rsidRPr="006B0F35" w:rsidRDefault="00FC4CB3" w:rsidP="0011355F">
      <w:pPr>
        <w:numPr>
          <w:ilvl w:val="0"/>
          <w:numId w:val="9"/>
        </w:numPr>
        <w:ind w:left="1080"/>
        <w:rPr>
          <w:rFonts w:ascii="Calibri" w:hAnsi="Calibri"/>
          <w:i/>
          <w:iCs/>
        </w:rPr>
      </w:pPr>
      <w:r w:rsidRPr="006B0F35">
        <w:rPr>
          <w:rFonts w:ascii="Calibri" w:hAnsi="Calibri"/>
        </w:rPr>
        <w:t xml:space="preserve">Seventy (70) days after the date of the original invoice, </w:t>
      </w:r>
      <w:r w:rsidR="0011355F" w:rsidRPr="006B0F35">
        <w:rPr>
          <w:rFonts w:ascii="Calibri" w:hAnsi="Calibri"/>
        </w:rPr>
        <w:t>the individual</w:t>
      </w:r>
      <w:r w:rsidRPr="006B0F35">
        <w:rPr>
          <w:rFonts w:ascii="Calibri" w:hAnsi="Calibri"/>
        </w:rPr>
        <w:t xml:space="preserve"> will </w:t>
      </w:r>
      <w:r w:rsidR="0011355F" w:rsidRPr="006B0F35">
        <w:rPr>
          <w:rFonts w:ascii="Calibri" w:hAnsi="Calibri"/>
        </w:rPr>
        <w:t xml:space="preserve">be </w:t>
      </w:r>
      <w:r w:rsidRPr="006B0F35">
        <w:rPr>
          <w:rFonts w:ascii="Calibri" w:hAnsi="Calibri"/>
        </w:rPr>
        <w:t>contact</w:t>
      </w:r>
      <w:r w:rsidR="0011355F" w:rsidRPr="006B0F35">
        <w:rPr>
          <w:rFonts w:ascii="Calibri" w:hAnsi="Calibri"/>
        </w:rPr>
        <w:t>ed</w:t>
      </w:r>
      <w:r w:rsidRPr="006B0F35">
        <w:rPr>
          <w:rFonts w:ascii="Calibri" w:hAnsi="Calibri"/>
        </w:rPr>
        <w:t xml:space="preserve"> via telephone, to inform them that their account will be forwarded to collections unless the bill is paid immediately.  A record will be </w:t>
      </w:r>
      <w:r w:rsidR="0011355F" w:rsidRPr="006B0F35">
        <w:rPr>
          <w:rFonts w:ascii="Calibri" w:hAnsi="Calibri"/>
        </w:rPr>
        <w:t>kept of all telephone contacts.</w:t>
      </w:r>
      <w:r w:rsidRPr="006B0F35">
        <w:rPr>
          <w:rFonts w:ascii="Calibri" w:hAnsi="Calibri"/>
        </w:rPr>
        <w:t xml:space="preserve"> If the customer cannot be contacted, or if they will not pay a verified bill, the collection’s process will begin immediately.</w:t>
      </w:r>
    </w:p>
    <w:p w14:paraId="09E1CC18" w14:textId="77777777" w:rsidR="00FC4CB3" w:rsidRPr="006B0F35" w:rsidRDefault="00FC4CB3">
      <w:pPr>
        <w:tabs>
          <w:tab w:val="left" w:pos="1080"/>
        </w:tabs>
        <w:ind w:left="1080" w:hanging="360"/>
        <w:rPr>
          <w:rFonts w:ascii="Calibri" w:hAnsi="Calibri"/>
          <w:i/>
          <w:iCs/>
        </w:rPr>
      </w:pPr>
    </w:p>
    <w:p w14:paraId="365F72E9" w14:textId="64EB3C5C" w:rsidR="00FC4CB3" w:rsidRPr="006B0F35" w:rsidRDefault="00FC4CB3" w:rsidP="0011355F">
      <w:pPr>
        <w:numPr>
          <w:ilvl w:val="0"/>
          <w:numId w:val="9"/>
        </w:numPr>
        <w:ind w:left="1080"/>
        <w:rPr>
          <w:rFonts w:ascii="Calibri" w:hAnsi="Calibri"/>
          <w:i/>
          <w:iCs/>
        </w:rPr>
      </w:pPr>
      <w:r w:rsidRPr="00DD5F81">
        <w:rPr>
          <w:rFonts w:ascii="Calibri" w:hAnsi="Calibri"/>
        </w:rPr>
        <w:t xml:space="preserve">In the event a customer does go through the collection process, and is able to make their account current, all future transactions will need to be paid, in full, in advance, unless authorized by the </w:t>
      </w:r>
      <w:r w:rsidR="0011355F" w:rsidRPr="00DD5F81">
        <w:rPr>
          <w:rFonts w:ascii="Calibri" w:hAnsi="Calibri"/>
        </w:rPr>
        <w:t>Treasurer</w:t>
      </w:r>
      <w:r w:rsidR="00B06BE7" w:rsidRPr="00DD5F81">
        <w:rPr>
          <w:rFonts w:ascii="Calibri" w:hAnsi="Calibri"/>
        </w:rPr>
        <w:t>.</w:t>
      </w:r>
    </w:p>
    <w:sectPr w:rsidR="00FC4CB3" w:rsidRPr="006B0F35" w:rsidSect="009078C7">
      <w:pgSz w:w="12240" w:h="15840" w:code="1"/>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4858"/>
    <w:multiLevelType w:val="hybridMultilevel"/>
    <w:tmpl w:val="59046476"/>
    <w:lvl w:ilvl="0" w:tplc="BF62AB6E">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0B86692"/>
    <w:multiLevelType w:val="hybridMultilevel"/>
    <w:tmpl w:val="6AE8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A33C1"/>
    <w:multiLevelType w:val="hybridMultilevel"/>
    <w:tmpl w:val="59046476"/>
    <w:lvl w:ilvl="0" w:tplc="BF62AB6E">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48C3CE8"/>
    <w:multiLevelType w:val="hybridMultilevel"/>
    <w:tmpl w:val="7BC82B70"/>
    <w:lvl w:ilvl="0" w:tplc="BF62AB6E">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BF62AB6E">
      <w:numFmt w:val="bullet"/>
      <w:lvlText w:val="-"/>
      <w:lvlJc w:val="left"/>
      <w:pPr>
        <w:tabs>
          <w:tab w:val="num" w:pos="3240"/>
        </w:tabs>
        <w:ind w:left="3240" w:hanging="360"/>
      </w:pPr>
      <w:rPr>
        <w:rFonts w:ascii="Times New Roman" w:eastAsia="Times New Roman" w:hAnsi="Times New Roman" w:cs="Times New Roman"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7FE6D34"/>
    <w:multiLevelType w:val="hybridMultilevel"/>
    <w:tmpl w:val="1E0AE6C8"/>
    <w:lvl w:ilvl="0" w:tplc="BF62AB6E">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BF62AB6E">
      <w:numFmt w:val="bullet"/>
      <w:lvlText w:val="-"/>
      <w:lvlJc w:val="left"/>
      <w:pPr>
        <w:tabs>
          <w:tab w:val="num" w:pos="3240"/>
        </w:tabs>
        <w:ind w:left="3240" w:hanging="360"/>
      </w:pPr>
      <w:rPr>
        <w:rFonts w:ascii="Times New Roman" w:eastAsia="Times New Roman" w:hAnsi="Times New Roman" w:cs="Times New Roman"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BCA2EE5"/>
    <w:multiLevelType w:val="hybridMultilevel"/>
    <w:tmpl w:val="6B46BA96"/>
    <w:lvl w:ilvl="0" w:tplc="7F58EA5A">
      <w:start w:val="1"/>
      <w:numFmt w:val="bullet"/>
      <w:lvlText w:val=""/>
      <w:lvlJc w:val="left"/>
      <w:pPr>
        <w:tabs>
          <w:tab w:val="num" w:pos="1440"/>
        </w:tabs>
        <w:ind w:left="1440" w:hanging="360"/>
      </w:pPr>
      <w:rPr>
        <w:rFonts w:ascii="Symbol" w:hAnsi="Symbol" w:hint="default"/>
        <w:b w:val="0"/>
        <w:i w:val="0"/>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F61E9F"/>
    <w:multiLevelType w:val="hybridMultilevel"/>
    <w:tmpl w:val="E00EF6E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BF62AB6E">
      <w:numFmt w:val="bullet"/>
      <w:lvlText w:val="-"/>
      <w:lvlJc w:val="left"/>
      <w:pPr>
        <w:tabs>
          <w:tab w:val="num" w:pos="3240"/>
        </w:tabs>
        <w:ind w:left="3240" w:hanging="360"/>
      </w:pPr>
      <w:rPr>
        <w:rFonts w:ascii="Times New Roman" w:eastAsia="Times New Roman" w:hAnsi="Times New Roman" w:cs="Times New Roman"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3A01CB6"/>
    <w:multiLevelType w:val="hybridMultilevel"/>
    <w:tmpl w:val="6B46BA96"/>
    <w:lvl w:ilvl="0" w:tplc="7F58EA5A">
      <w:start w:val="1"/>
      <w:numFmt w:val="bullet"/>
      <w:lvlText w:val=""/>
      <w:lvlJc w:val="left"/>
      <w:pPr>
        <w:tabs>
          <w:tab w:val="num" w:pos="1440"/>
        </w:tabs>
        <w:ind w:left="1440" w:hanging="360"/>
      </w:pPr>
      <w:rPr>
        <w:rFonts w:ascii="Symbol" w:hAnsi="Symbol" w:hint="default"/>
        <w:b w:val="0"/>
        <w:i w:val="0"/>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2433E4"/>
    <w:multiLevelType w:val="hybridMultilevel"/>
    <w:tmpl w:val="59046476"/>
    <w:lvl w:ilvl="0" w:tplc="0409000F">
      <w:start w:val="1"/>
      <w:numFmt w:val="decimal"/>
      <w:lvlText w:val="%1."/>
      <w:lvlJc w:val="left"/>
      <w:pPr>
        <w:tabs>
          <w:tab w:val="num" w:pos="1800"/>
        </w:tabs>
        <w:ind w:left="1800" w:hanging="360"/>
      </w:p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6271425"/>
    <w:multiLevelType w:val="hybridMultilevel"/>
    <w:tmpl w:val="663ED7A2"/>
    <w:lvl w:ilvl="0" w:tplc="4F0CF06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6666989"/>
    <w:multiLevelType w:val="hybridMultilevel"/>
    <w:tmpl w:val="5F7C8BD8"/>
    <w:lvl w:ilvl="0" w:tplc="0942721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43101520">
    <w:abstractNumId w:val="9"/>
  </w:num>
  <w:num w:numId="2" w16cid:durableId="638074246">
    <w:abstractNumId w:val="10"/>
  </w:num>
  <w:num w:numId="3" w16cid:durableId="1828205800">
    <w:abstractNumId w:val="5"/>
  </w:num>
  <w:num w:numId="4" w16cid:durableId="1871141969">
    <w:abstractNumId w:val="7"/>
  </w:num>
  <w:num w:numId="5" w16cid:durableId="1611812407">
    <w:abstractNumId w:val="4"/>
  </w:num>
  <w:num w:numId="6" w16cid:durableId="1425615291">
    <w:abstractNumId w:val="2"/>
  </w:num>
  <w:num w:numId="7" w16cid:durableId="519273175">
    <w:abstractNumId w:val="8"/>
  </w:num>
  <w:num w:numId="8" w16cid:durableId="1317613668">
    <w:abstractNumId w:val="0"/>
  </w:num>
  <w:num w:numId="9" w16cid:durableId="377710494">
    <w:abstractNumId w:val="1"/>
  </w:num>
  <w:num w:numId="10" w16cid:durableId="1479953209">
    <w:abstractNumId w:val="6"/>
  </w:num>
  <w:num w:numId="11" w16cid:durableId="464005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61CA"/>
    <w:rsid w:val="0011355F"/>
    <w:rsid w:val="003362CF"/>
    <w:rsid w:val="003A5EDF"/>
    <w:rsid w:val="004030A8"/>
    <w:rsid w:val="005F61CA"/>
    <w:rsid w:val="006B0F35"/>
    <w:rsid w:val="00802868"/>
    <w:rsid w:val="008123D2"/>
    <w:rsid w:val="009078C7"/>
    <w:rsid w:val="00A17459"/>
    <w:rsid w:val="00AD13AE"/>
    <w:rsid w:val="00B06BE7"/>
    <w:rsid w:val="00D73728"/>
    <w:rsid w:val="00DD5F81"/>
    <w:rsid w:val="00E44668"/>
    <w:rsid w:val="00FC4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74D6C7F"/>
  <w15:chartTrackingRefBased/>
  <w15:docId w15:val="{5479C5C7-A025-4249-B5F0-568058C6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b/>
      <w:bCs/>
      <w:u w:val="single"/>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sz w:val="28"/>
    </w:rPr>
  </w:style>
  <w:style w:type="paragraph" w:styleId="Subtitle">
    <w:name w:val="Subtitle"/>
    <w:basedOn w:val="Normal"/>
    <w:qFormat/>
    <w:pPr>
      <w:jc w:val="center"/>
    </w:pPr>
    <w:rPr>
      <w:sz w:val="28"/>
      <w:u w:val="single"/>
    </w:rPr>
  </w:style>
  <w:style w:type="paragraph" w:styleId="BodyText">
    <w:name w:val="Body Text"/>
    <w:basedOn w:val="Normal"/>
    <w:rPr>
      <w:b/>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F03EBF1EDBC741AEAFEEF68A426D50" ma:contentTypeVersion="4" ma:contentTypeDescription="Create a new document." ma:contentTypeScope="" ma:versionID="1f0b3af9d03a690c1fe60a6f31765c70">
  <xsd:schema xmlns:xsd="http://www.w3.org/2001/XMLSchema" xmlns:xs="http://www.w3.org/2001/XMLSchema" xmlns:p="http://schemas.microsoft.com/office/2006/metadata/properties" xmlns:ns2="66372a9a-3d52-47b7-8e5d-6e5a7dc53715" targetNamespace="http://schemas.microsoft.com/office/2006/metadata/properties" ma:root="true" ma:fieldsID="a7866150e886635e3fada14269348d34" ns2:_="">
    <xsd:import namespace="66372a9a-3d52-47b7-8e5d-6e5a7dc537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2a9a-3d52-47b7-8e5d-6e5a7dc53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F35E2E-F5BA-4308-AB05-47E48286C97F}"/>
</file>

<file path=customXml/itemProps2.xml><?xml version="1.0" encoding="utf-8"?>
<ds:datastoreItem xmlns:ds="http://schemas.openxmlformats.org/officeDocument/2006/customXml" ds:itemID="{DA2C2E60-68BE-4C18-B917-0A2D541CAF55}"/>
</file>

<file path=customXml/itemProps3.xml><?xml version="1.0" encoding="utf-8"?>
<ds:datastoreItem xmlns:ds="http://schemas.openxmlformats.org/officeDocument/2006/customXml" ds:itemID="{EE522D78-9D1B-4B8E-B649-2E31E1DF271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STATEMENT OF INVESTMENT </vt:lpstr>
    </vt:vector>
  </TitlesOfParts>
  <Company>sbh</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INVESTMENT </dc:title>
  <dc:subject/>
  <dc:creator>clarsen</dc:creator>
  <cp:keywords/>
  <dc:description/>
  <cp:lastModifiedBy>Carrie Kiley</cp:lastModifiedBy>
  <cp:revision>3</cp:revision>
  <cp:lastPrinted>2006-01-19T18:44:00Z</cp:lastPrinted>
  <dcterms:created xsi:type="dcterms:W3CDTF">2022-05-10T22:19:00Z</dcterms:created>
  <dcterms:modified xsi:type="dcterms:W3CDTF">2022-05-10T22:19:00Z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0x010100E5F03EBF1EDBC741AEAFEEF68A426D50</vt:lpwstr>
  </property>
</Properties>
</file>