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4078" w14:textId="77777777" w:rsidR="002A664B" w:rsidRPr="00A02295" w:rsidRDefault="00BB7C4F" w:rsidP="002A664B">
      <w:pPr>
        <w:jc w:val="right"/>
        <w:outlineLvl w:val="0"/>
        <w:rPr>
          <w:rFonts w:ascii="Calibri" w:hAnsi="Calibri" w:cs="Calibri"/>
          <w:szCs w:val="24"/>
        </w:rPr>
      </w:pPr>
      <w:r w:rsidRPr="00A02295">
        <w:rPr>
          <w:rFonts w:ascii="Calibri" w:hAnsi="Calibri" w:cs="Calibri"/>
          <w:szCs w:val="24"/>
        </w:rPr>
        <w:t>E</w:t>
      </w:r>
      <w:r w:rsidR="002A664B" w:rsidRPr="00A02295">
        <w:rPr>
          <w:rFonts w:ascii="Calibri" w:hAnsi="Calibri" w:cs="Calibri"/>
          <w:szCs w:val="24"/>
        </w:rPr>
        <w:t xml:space="preserve">ffective Date: </w:t>
      </w:r>
    </w:p>
    <w:p w14:paraId="60BF120F" w14:textId="77777777" w:rsidR="002A664B" w:rsidRPr="00A02295" w:rsidRDefault="002A664B" w:rsidP="002A664B">
      <w:pPr>
        <w:jc w:val="right"/>
        <w:rPr>
          <w:rFonts w:ascii="Calibri" w:hAnsi="Calibri" w:cs="Calibri"/>
          <w:szCs w:val="24"/>
        </w:rPr>
      </w:pPr>
      <w:r w:rsidRPr="00A02295">
        <w:rPr>
          <w:rFonts w:ascii="Calibri" w:hAnsi="Calibri" w:cs="Calibri"/>
          <w:szCs w:val="24"/>
        </w:rPr>
        <w:t xml:space="preserve">Revision Date: </w:t>
      </w:r>
    </w:p>
    <w:p w14:paraId="1D24BAD1" w14:textId="77777777" w:rsidR="002A664B" w:rsidRPr="00A02295" w:rsidRDefault="002A664B" w:rsidP="002A664B">
      <w:pPr>
        <w:jc w:val="right"/>
        <w:rPr>
          <w:rFonts w:ascii="Calibri" w:hAnsi="Calibri" w:cs="Calibri"/>
          <w:szCs w:val="24"/>
        </w:rPr>
      </w:pPr>
      <w:r w:rsidRPr="00A02295">
        <w:rPr>
          <w:rFonts w:ascii="Calibri" w:hAnsi="Calibri" w:cs="Calibri"/>
          <w:szCs w:val="24"/>
        </w:rPr>
        <w:t xml:space="preserve">Approved: </w:t>
      </w:r>
    </w:p>
    <w:p w14:paraId="251FB6F3" w14:textId="77777777" w:rsidR="002A664B" w:rsidRPr="00A02295" w:rsidRDefault="002A664B" w:rsidP="002A664B">
      <w:pPr>
        <w:jc w:val="right"/>
        <w:rPr>
          <w:rFonts w:ascii="Calibri" w:hAnsi="Calibri" w:cs="Calibri"/>
          <w:szCs w:val="24"/>
        </w:rPr>
      </w:pPr>
      <w:r w:rsidRPr="00A02295">
        <w:rPr>
          <w:rFonts w:ascii="Calibri" w:hAnsi="Calibri" w:cs="Calibri"/>
          <w:szCs w:val="24"/>
        </w:rPr>
        <w:t xml:space="preserve">Review Date: </w:t>
      </w:r>
    </w:p>
    <w:p w14:paraId="4CBA45A5" w14:textId="77777777" w:rsidR="00157955" w:rsidRPr="00A02295" w:rsidRDefault="00157955">
      <w:pPr>
        <w:rPr>
          <w:rFonts w:ascii="Calibri" w:hAnsi="Calibri" w:cs="Calibri"/>
          <w:szCs w:val="24"/>
        </w:rPr>
      </w:pPr>
    </w:p>
    <w:p w14:paraId="210E9BB7" w14:textId="77777777" w:rsidR="00157955" w:rsidRPr="00A02295" w:rsidRDefault="00BB7C4F" w:rsidP="00BB7C4F">
      <w:pPr>
        <w:jc w:val="center"/>
        <w:rPr>
          <w:rFonts w:ascii="Calibri" w:hAnsi="Calibri" w:cs="Calibri"/>
          <w:b/>
          <w:bCs/>
          <w:sz w:val="32"/>
          <w:szCs w:val="32"/>
          <w:u w:val="single"/>
        </w:rPr>
      </w:pPr>
      <w:r w:rsidRPr="00A02295">
        <w:rPr>
          <w:rFonts w:ascii="Calibri" w:hAnsi="Calibri" w:cs="Calibri"/>
          <w:b/>
          <w:bCs/>
          <w:sz w:val="32"/>
          <w:szCs w:val="32"/>
          <w:u w:val="single"/>
        </w:rPr>
        <w:t>Audit Policy Template</w:t>
      </w:r>
    </w:p>
    <w:p w14:paraId="48788DFA" w14:textId="77777777" w:rsidR="00BB7C4F" w:rsidRPr="00A02295" w:rsidRDefault="00BB7C4F">
      <w:pPr>
        <w:rPr>
          <w:rFonts w:ascii="Calibri" w:hAnsi="Calibri" w:cs="Calibri"/>
          <w:b/>
          <w:bCs/>
          <w:szCs w:val="24"/>
          <w:u w:val="single"/>
        </w:rPr>
      </w:pPr>
    </w:p>
    <w:p w14:paraId="53EB8922" w14:textId="77777777" w:rsidR="00157955" w:rsidRPr="00A02295" w:rsidRDefault="00BB7C4F">
      <w:pPr>
        <w:rPr>
          <w:rFonts w:ascii="Calibri" w:hAnsi="Calibri" w:cs="Calibri"/>
          <w:color w:val="0070C0"/>
          <w:szCs w:val="24"/>
        </w:rPr>
      </w:pPr>
      <w:r w:rsidRPr="00A02295">
        <w:rPr>
          <w:rFonts w:ascii="Calibri" w:hAnsi="Calibri" w:cs="Calibri"/>
          <w:color w:val="0070C0"/>
          <w:szCs w:val="24"/>
        </w:rPr>
        <w:t>The affiliate may use this information as a guide in developing a policy applicable to the affiliate.</w:t>
      </w:r>
      <w:r w:rsidR="0015373C" w:rsidRPr="00A02295">
        <w:rPr>
          <w:rFonts w:ascii="Calibri" w:hAnsi="Calibri" w:cs="Calibri"/>
          <w:color w:val="0070C0"/>
          <w:szCs w:val="24"/>
        </w:rPr>
        <w:t xml:space="preserve"> It is recommended to define how often an audit will be conducted and whether an outside firm will be used to conduct an audit.</w:t>
      </w:r>
    </w:p>
    <w:p w14:paraId="0DF8CAFA" w14:textId="77777777" w:rsidR="00BB7C4F" w:rsidRPr="00A02295" w:rsidRDefault="00BB7C4F">
      <w:pPr>
        <w:rPr>
          <w:rFonts w:ascii="Calibri" w:hAnsi="Calibri" w:cs="Calibri"/>
          <w:szCs w:val="24"/>
        </w:rPr>
      </w:pPr>
    </w:p>
    <w:p w14:paraId="1C8F8255" w14:textId="77777777" w:rsidR="00157955" w:rsidRPr="00A02295" w:rsidRDefault="00157955">
      <w:pPr>
        <w:rPr>
          <w:rFonts w:ascii="Calibri" w:hAnsi="Calibri" w:cs="Calibri"/>
          <w:szCs w:val="24"/>
        </w:rPr>
      </w:pPr>
      <w:r w:rsidRPr="00A02295">
        <w:rPr>
          <w:rFonts w:ascii="Calibri" w:hAnsi="Calibri" w:cs="Calibri"/>
          <w:szCs w:val="24"/>
        </w:rPr>
        <w:t xml:space="preserve">This policy ensures that the </w:t>
      </w:r>
      <w:r w:rsidR="00BB7C4F" w:rsidRPr="00A02295">
        <w:rPr>
          <w:rFonts w:ascii="Calibri" w:hAnsi="Calibri" w:cs="Calibri"/>
          <w:szCs w:val="24"/>
        </w:rPr>
        <w:t>&lt;affiliate’s&gt;</w:t>
      </w:r>
      <w:r w:rsidRPr="00A02295">
        <w:rPr>
          <w:rFonts w:ascii="Calibri" w:hAnsi="Calibri" w:cs="Calibri"/>
          <w:szCs w:val="24"/>
        </w:rPr>
        <w:t xml:space="preserve"> financials are reviewed, on an annual basis, by an </w:t>
      </w:r>
      <w:r w:rsidR="00920B1C" w:rsidRPr="00A02295">
        <w:rPr>
          <w:rFonts w:ascii="Calibri" w:hAnsi="Calibri" w:cs="Calibri"/>
          <w:szCs w:val="24"/>
        </w:rPr>
        <w:t>internal committee</w:t>
      </w:r>
      <w:r w:rsidRPr="00A02295">
        <w:rPr>
          <w:rFonts w:ascii="Calibri" w:hAnsi="Calibri" w:cs="Calibri"/>
          <w:szCs w:val="24"/>
        </w:rPr>
        <w:t>.</w:t>
      </w:r>
    </w:p>
    <w:p w14:paraId="4887C27B" w14:textId="77777777" w:rsidR="00157955" w:rsidRPr="00A02295" w:rsidRDefault="00157955">
      <w:pPr>
        <w:rPr>
          <w:rFonts w:ascii="Calibri" w:hAnsi="Calibri" w:cs="Calibri"/>
          <w:szCs w:val="24"/>
        </w:rPr>
      </w:pPr>
    </w:p>
    <w:p w14:paraId="1B3CCD17" w14:textId="77777777" w:rsidR="00920B1C" w:rsidRPr="00A02295" w:rsidRDefault="00920B1C" w:rsidP="00920B1C">
      <w:pPr>
        <w:pStyle w:val="NormalWeb"/>
        <w:spacing w:before="0" w:beforeAutospacing="0" w:after="0" w:afterAutospacing="0"/>
        <w:rPr>
          <w:rFonts w:ascii="Calibri" w:hAnsi="Calibri" w:cs="Calibri"/>
        </w:rPr>
      </w:pPr>
      <w:r w:rsidRPr="00A02295">
        <w:rPr>
          <w:rFonts w:ascii="Calibri" w:hAnsi="Calibri" w:cs="Calibri"/>
          <w:b/>
          <w:bCs/>
          <w:color w:val="000000"/>
        </w:rPr>
        <w:t xml:space="preserve">Background: </w:t>
      </w:r>
      <w:r w:rsidRPr="00A02295">
        <w:rPr>
          <w:rFonts w:ascii="Calibri" w:hAnsi="Calibri" w:cs="Calibri"/>
          <w:color w:val="000000"/>
        </w:rPr>
        <w:t xml:space="preserve">  Every two years the </w:t>
      </w:r>
      <w:r w:rsidRPr="00920B1C">
        <w:rPr>
          <w:rFonts w:ascii="Calibri" w:hAnsi="Calibri" w:cs="Calibri"/>
        </w:rPr>
        <w:t>&lt;affiliate’s&gt;</w:t>
      </w:r>
      <w:r w:rsidRPr="00A02295">
        <w:rPr>
          <w:rFonts w:ascii="Calibri" w:hAnsi="Calibri" w:cs="Calibri"/>
          <w:color w:val="000000"/>
        </w:rPr>
        <w:t xml:space="preserve"> Audit Committee must perform an internal review of finance records. During this review, 10% of all transactions must be reviewed.  </w:t>
      </w:r>
    </w:p>
    <w:p w14:paraId="0694AE1F" w14:textId="77777777" w:rsidR="00920B1C" w:rsidRPr="00A02295" w:rsidRDefault="00920B1C" w:rsidP="00920B1C">
      <w:pPr>
        <w:pStyle w:val="NormalWeb"/>
        <w:spacing w:before="0" w:beforeAutospacing="0" w:after="0" w:afterAutospacing="0"/>
        <w:rPr>
          <w:rFonts w:ascii="Calibri" w:hAnsi="Calibri" w:cs="Calibri"/>
        </w:rPr>
      </w:pPr>
      <w:r w:rsidRPr="00A02295">
        <w:rPr>
          <w:rFonts w:ascii="Calibri" w:hAnsi="Calibri" w:cs="Calibri"/>
          <w:color w:val="000000"/>
        </w:rPr>
        <w:t> </w:t>
      </w:r>
    </w:p>
    <w:p w14:paraId="10E888AC" w14:textId="77777777" w:rsidR="00920B1C" w:rsidRPr="00A02295" w:rsidRDefault="00920B1C" w:rsidP="00920B1C">
      <w:pPr>
        <w:pStyle w:val="NormalWeb"/>
        <w:spacing w:before="0" w:beforeAutospacing="0" w:after="0" w:afterAutospacing="0"/>
        <w:rPr>
          <w:rFonts w:ascii="Calibri" w:hAnsi="Calibri" w:cs="Calibri"/>
        </w:rPr>
      </w:pPr>
      <w:r w:rsidRPr="00A02295">
        <w:rPr>
          <w:rFonts w:ascii="Calibri" w:hAnsi="Calibri" w:cs="Calibri"/>
          <w:b/>
          <w:bCs/>
          <w:color w:val="000000"/>
        </w:rPr>
        <w:t>Responsibility:</w:t>
      </w:r>
      <w:r w:rsidRPr="00A02295">
        <w:rPr>
          <w:rFonts w:ascii="Calibri" w:hAnsi="Calibri" w:cs="Calibri"/>
          <w:color w:val="000000"/>
        </w:rPr>
        <w:t xml:space="preserve"> Treasurer takes the lead in this procedure. The President will appoint up to four [4] Board of Directors (BOD) members to participate in the Audit Committee, which is charged with conducting the financial audit as outlined below. These members must not be involved in daily financial transactions of the affiliate.</w:t>
      </w:r>
    </w:p>
    <w:p w14:paraId="43CFE4CF" w14:textId="77777777" w:rsidR="00920B1C" w:rsidRPr="00A02295" w:rsidRDefault="00920B1C" w:rsidP="00920B1C">
      <w:pPr>
        <w:pStyle w:val="NormalWeb"/>
        <w:spacing w:before="0" w:beforeAutospacing="0" w:after="0" w:afterAutospacing="0"/>
        <w:rPr>
          <w:rFonts w:ascii="Calibri" w:hAnsi="Calibri" w:cs="Calibri"/>
        </w:rPr>
      </w:pPr>
      <w:r w:rsidRPr="00A02295">
        <w:rPr>
          <w:rFonts w:ascii="Calibri" w:hAnsi="Calibri" w:cs="Calibri"/>
          <w:color w:val="000000"/>
        </w:rPr>
        <w:t> </w:t>
      </w:r>
    </w:p>
    <w:p w14:paraId="1989A721" w14:textId="77777777" w:rsidR="00920B1C" w:rsidRPr="00A02295" w:rsidRDefault="00920B1C" w:rsidP="00920B1C">
      <w:pPr>
        <w:pStyle w:val="NormalWeb"/>
        <w:spacing w:before="0" w:beforeAutospacing="0" w:after="0" w:afterAutospacing="0"/>
        <w:rPr>
          <w:rFonts w:ascii="Calibri" w:hAnsi="Calibri" w:cs="Calibri"/>
        </w:rPr>
      </w:pPr>
      <w:r w:rsidRPr="00A02295">
        <w:rPr>
          <w:rFonts w:ascii="Calibri" w:hAnsi="Calibri" w:cs="Calibri"/>
          <w:b/>
          <w:bCs/>
          <w:color w:val="000000"/>
        </w:rPr>
        <w:t>Procedures:</w:t>
      </w:r>
    </w:p>
    <w:p w14:paraId="50DD4CDE" w14:textId="77777777" w:rsidR="00920B1C" w:rsidRPr="00A02295" w:rsidRDefault="00920B1C" w:rsidP="00920B1C">
      <w:pPr>
        <w:pStyle w:val="NormalWeb"/>
        <w:numPr>
          <w:ilvl w:val="0"/>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Ongoing Financial oversight</w:t>
      </w:r>
    </w:p>
    <w:p w14:paraId="54DABD1C"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The management of the financial review, as defined above, will be performed by the Treasurer.</w:t>
      </w:r>
    </w:p>
    <w:p w14:paraId="6695BA8E"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The Executive Director (ED) will reconcile expenses and bank statement monthly (not less than quarterly) and forward results to Treasurer for review and use in Treasurer’s report for BOD Meetings.</w:t>
      </w:r>
    </w:p>
    <w:p w14:paraId="1922BC32"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The Treasurer and BOD designee(s) (if appointed) will review the documents together or independently.  The Treasurer will review findings at the BOD teleconference as part of the Treasurer’s report.</w:t>
      </w:r>
    </w:p>
    <w:p w14:paraId="649A7F23" w14:textId="77777777" w:rsidR="00920B1C" w:rsidRPr="00A02295" w:rsidRDefault="00920B1C" w:rsidP="00920B1C">
      <w:pPr>
        <w:pStyle w:val="NormalWeb"/>
        <w:numPr>
          <w:ilvl w:val="0"/>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Financial Audit/review (every 2 years)</w:t>
      </w:r>
    </w:p>
    <w:p w14:paraId="160C4BAB"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ED will provide electronic copies of each monthly bank statement for 2-year period of audit and annual summary showing all transactions. The treasurer will assign an equal amount of months for review to each person on the Audit Committee.  </w:t>
      </w:r>
    </w:p>
    <w:p w14:paraId="70BF8C73"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The Audit Committee or appointed members, as a whole, will select 10% of the total number of transactions in their assigned months, and request source documents to support the expense for review. To do this, each person should select each 10th transaction, for each month they are assigned, starting with a random number between 1-10. Each selected transaction will be reviewed for the following:</w:t>
      </w:r>
    </w:p>
    <w:p w14:paraId="7F7C13DB" w14:textId="77777777" w:rsidR="00920B1C" w:rsidRPr="00A02295" w:rsidRDefault="00920B1C" w:rsidP="00920B1C">
      <w:pPr>
        <w:pStyle w:val="NormalWeb"/>
        <w:numPr>
          <w:ilvl w:val="2"/>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Deposits: is there a source document to support the deposit (other than bank interest deposits).</w:t>
      </w:r>
    </w:p>
    <w:p w14:paraId="5612B0F8" w14:textId="77777777" w:rsidR="00920B1C" w:rsidRPr="00A02295" w:rsidRDefault="00920B1C" w:rsidP="00920B1C">
      <w:pPr>
        <w:pStyle w:val="NormalWeb"/>
        <w:numPr>
          <w:ilvl w:val="2"/>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Checks: Review invoices, bills, signed contracts, etc.</w:t>
      </w:r>
    </w:p>
    <w:p w14:paraId="261BF00A" w14:textId="6EDEE404" w:rsidR="00920B1C" w:rsidRPr="00A02295" w:rsidRDefault="00920B1C" w:rsidP="00920B1C">
      <w:pPr>
        <w:pStyle w:val="NormalWeb"/>
        <w:numPr>
          <w:ilvl w:val="2"/>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 xml:space="preserve">In addition, the Audit Committee should review the bank statements for their assigned </w:t>
      </w:r>
      <w:r w:rsidR="00CF0480" w:rsidRPr="00A02295">
        <w:rPr>
          <w:rFonts w:ascii="Calibri" w:hAnsi="Calibri" w:cs="Calibri"/>
          <w:color w:val="000000"/>
        </w:rPr>
        <w:t>months and</w:t>
      </w:r>
      <w:r w:rsidRPr="00A02295">
        <w:rPr>
          <w:rFonts w:ascii="Calibri" w:hAnsi="Calibri" w:cs="Calibri"/>
          <w:color w:val="000000"/>
        </w:rPr>
        <w:t xml:space="preserve"> identify if there is any other unusual transaction that they would like to see documentation for.</w:t>
      </w:r>
    </w:p>
    <w:p w14:paraId="18D47039"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lastRenderedPageBreak/>
        <w:t>ED will provide any source documents requested by Audit Committee members to support each of the selected transactions and/or any other documentation requested.</w:t>
      </w:r>
    </w:p>
    <w:p w14:paraId="28E20437" w14:textId="77777777" w:rsidR="00920B1C" w:rsidRPr="00A02295" w:rsidRDefault="00920B1C" w:rsidP="00920B1C">
      <w:pPr>
        <w:pStyle w:val="NormalWeb"/>
        <w:numPr>
          <w:ilvl w:val="1"/>
          <w:numId w:val="9"/>
        </w:numPr>
        <w:spacing w:before="0" w:beforeAutospacing="0" w:after="0" w:afterAutospacing="0"/>
        <w:textAlignment w:val="baseline"/>
        <w:rPr>
          <w:rFonts w:ascii="Calibri" w:hAnsi="Calibri" w:cs="Calibri"/>
          <w:color w:val="000000"/>
        </w:rPr>
      </w:pPr>
      <w:r w:rsidRPr="00A02295">
        <w:rPr>
          <w:rFonts w:ascii="Calibri" w:hAnsi="Calibri" w:cs="Calibri"/>
          <w:color w:val="000000"/>
        </w:rPr>
        <w:t>After review, each member submits a summary of their review transactions including list of transactions reviewed and the reviewer’s status (accept, non-accept). This review will be compiled and reviewed by the Treasurer and be presented to the BOD.</w:t>
      </w:r>
    </w:p>
    <w:p w14:paraId="01C86CBA" w14:textId="77777777" w:rsidR="00157955" w:rsidRPr="00A02295" w:rsidRDefault="00157955" w:rsidP="00920B1C">
      <w:pPr>
        <w:rPr>
          <w:rFonts w:ascii="Calibri" w:hAnsi="Calibri" w:cs="Calibri"/>
          <w:szCs w:val="24"/>
        </w:rPr>
      </w:pPr>
    </w:p>
    <w:sectPr w:rsidR="00157955" w:rsidRPr="00A02295" w:rsidSect="00BB7C4F">
      <w:pgSz w:w="12240" w:h="15840" w:code="1"/>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47BD" w14:textId="77777777" w:rsidR="00A02295" w:rsidRDefault="00A02295">
      <w:r>
        <w:separator/>
      </w:r>
    </w:p>
  </w:endnote>
  <w:endnote w:type="continuationSeparator" w:id="0">
    <w:p w14:paraId="53AA6B95" w14:textId="77777777" w:rsidR="00A02295" w:rsidRDefault="00A0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DEA3" w14:textId="77777777" w:rsidR="00A02295" w:rsidRDefault="00A02295">
      <w:r>
        <w:separator/>
      </w:r>
    </w:p>
  </w:footnote>
  <w:footnote w:type="continuationSeparator" w:id="0">
    <w:p w14:paraId="49B4198D" w14:textId="77777777" w:rsidR="00A02295" w:rsidRDefault="00A02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354D"/>
    <w:multiLevelType w:val="multilevel"/>
    <w:tmpl w:val="23C6E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A0DB9"/>
    <w:multiLevelType w:val="hybridMultilevel"/>
    <w:tmpl w:val="4822A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75D59"/>
    <w:multiLevelType w:val="hybridMultilevel"/>
    <w:tmpl w:val="CB203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3564C"/>
    <w:multiLevelType w:val="hybridMultilevel"/>
    <w:tmpl w:val="EDBCE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54D8A"/>
    <w:multiLevelType w:val="hybridMultilevel"/>
    <w:tmpl w:val="FA401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773DD3"/>
    <w:multiLevelType w:val="hybridMultilevel"/>
    <w:tmpl w:val="299E0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9279826">
    <w:abstractNumId w:val="2"/>
  </w:num>
  <w:num w:numId="2" w16cid:durableId="492794790">
    <w:abstractNumId w:val="5"/>
  </w:num>
  <w:num w:numId="3" w16cid:durableId="1904096790">
    <w:abstractNumId w:val="3"/>
  </w:num>
  <w:num w:numId="4" w16cid:durableId="751437197">
    <w:abstractNumId w:val="4"/>
  </w:num>
  <w:num w:numId="5" w16cid:durableId="712121499">
    <w:abstractNumId w:val="0"/>
  </w:num>
  <w:num w:numId="6" w16cid:durableId="495073666">
    <w:abstractNumId w:val="0"/>
    <w:lvlOverride w:ilvl="1">
      <w:lvl w:ilvl="1">
        <w:numFmt w:val="lowerLetter"/>
        <w:lvlText w:val="%2."/>
        <w:lvlJc w:val="left"/>
      </w:lvl>
    </w:lvlOverride>
  </w:num>
  <w:num w:numId="7" w16cid:durableId="23136946">
    <w:abstractNumId w:val="0"/>
    <w:lvlOverride w:ilvl="1">
      <w:lvl w:ilvl="1">
        <w:numFmt w:val="lowerLetter"/>
        <w:lvlText w:val="%2."/>
        <w:lvlJc w:val="left"/>
      </w:lvl>
    </w:lvlOverride>
  </w:num>
  <w:num w:numId="8" w16cid:durableId="2033876538">
    <w:abstractNumId w:val="0"/>
    <w:lvlOverride w:ilvl="1">
      <w:lvl w:ilvl="1">
        <w:numFmt w:val="lowerLetter"/>
        <w:lvlText w:val="%2."/>
        <w:lvlJc w:val="left"/>
      </w:lvl>
    </w:lvlOverride>
    <w:lvlOverride w:ilvl="2">
      <w:lvl w:ilvl="2">
        <w:numFmt w:val="lowerRoman"/>
        <w:lvlText w:val="%3."/>
        <w:lvlJc w:val="right"/>
      </w:lvl>
    </w:lvlOverride>
  </w:num>
  <w:num w:numId="9" w16cid:durableId="157890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4DFF"/>
    <w:rsid w:val="00061607"/>
    <w:rsid w:val="00085F74"/>
    <w:rsid w:val="0009522F"/>
    <w:rsid w:val="0015373C"/>
    <w:rsid w:val="00157955"/>
    <w:rsid w:val="0016511B"/>
    <w:rsid w:val="00205B2C"/>
    <w:rsid w:val="00221B83"/>
    <w:rsid w:val="002A664B"/>
    <w:rsid w:val="00314E8E"/>
    <w:rsid w:val="0031549B"/>
    <w:rsid w:val="00407138"/>
    <w:rsid w:val="00433023"/>
    <w:rsid w:val="00451BD8"/>
    <w:rsid w:val="004528C1"/>
    <w:rsid w:val="004B715D"/>
    <w:rsid w:val="0052582E"/>
    <w:rsid w:val="005C2350"/>
    <w:rsid w:val="005F2EB3"/>
    <w:rsid w:val="00606411"/>
    <w:rsid w:val="00610FA3"/>
    <w:rsid w:val="00643DBD"/>
    <w:rsid w:val="006A7A34"/>
    <w:rsid w:val="006E4DFF"/>
    <w:rsid w:val="006F56F1"/>
    <w:rsid w:val="007919C8"/>
    <w:rsid w:val="007E2156"/>
    <w:rsid w:val="00894E28"/>
    <w:rsid w:val="00915974"/>
    <w:rsid w:val="00920B1C"/>
    <w:rsid w:val="00A02295"/>
    <w:rsid w:val="00A712B8"/>
    <w:rsid w:val="00A83D5D"/>
    <w:rsid w:val="00A93643"/>
    <w:rsid w:val="00A94E88"/>
    <w:rsid w:val="00BB7C4F"/>
    <w:rsid w:val="00BE3D99"/>
    <w:rsid w:val="00C13B40"/>
    <w:rsid w:val="00C5042B"/>
    <w:rsid w:val="00C601D7"/>
    <w:rsid w:val="00CF0480"/>
    <w:rsid w:val="00D22DE7"/>
    <w:rsid w:val="00D46F66"/>
    <w:rsid w:val="00DA330D"/>
    <w:rsid w:val="00F74D3B"/>
    <w:rsid w:val="00F7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910EC3E"/>
  <w15:chartTrackingRefBased/>
  <w15:docId w15:val="{13CE29DE-94A2-4039-B11A-58AC6E3A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rPr>
  </w:style>
  <w:style w:type="paragraph" w:styleId="Heading1">
    <w:name w:val="heading 1"/>
    <w:basedOn w:val="Normal"/>
    <w:next w:val="Normal"/>
    <w:qFormat/>
    <w:pPr>
      <w:keepNext/>
      <w:tabs>
        <w:tab w:val="left" w:pos="720"/>
      </w:tabs>
      <w:outlineLvl w:val="0"/>
    </w:pPr>
    <w:rPr>
      <w:rFonts w:cs="Tahoma"/>
      <w:b/>
      <w:bCs/>
    </w:rPr>
  </w:style>
  <w:style w:type="paragraph" w:styleId="Heading2">
    <w:name w:val="heading 2"/>
    <w:basedOn w:val="Normal"/>
    <w:next w:val="Normal"/>
    <w:qFormat/>
    <w:pPr>
      <w:keepNext/>
      <w:jc w:val="right"/>
      <w:outlineLvl w:val="1"/>
    </w:pPr>
    <w:rPr>
      <w:b/>
      <w:bCs/>
      <w:sz w:val="20"/>
    </w:rPr>
  </w:style>
  <w:style w:type="paragraph" w:styleId="Heading3">
    <w:name w:val="heading 3"/>
    <w:basedOn w:val="Normal"/>
    <w:next w:val="Normal"/>
    <w:qFormat/>
    <w:pPr>
      <w:keepNext/>
      <w:outlineLvl w:val="2"/>
    </w:pPr>
    <w:rPr>
      <w:b/>
      <w:bCs/>
      <w:sz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33023"/>
    <w:rPr>
      <w:rFonts w:cs="Tahoma"/>
      <w:sz w:val="16"/>
      <w:szCs w:val="16"/>
    </w:rPr>
  </w:style>
  <w:style w:type="character" w:styleId="CommentReference">
    <w:name w:val="annotation reference"/>
    <w:rsid w:val="00BB7C4F"/>
    <w:rPr>
      <w:sz w:val="16"/>
      <w:szCs w:val="16"/>
    </w:rPr>
  </w:style>
  <w:style w:type="paragraph" w:styleId="CommentText">
    <w:name w:val="annotation text"/>
    <w:basedOn w:val="Normal"/>
    <w:link w:val="CommentTextChar"/>
    <w:rsid w:val="00BB7C4F"/>
    <w:rPr>
      <w:sz w:val="20"/>
    </w:rPr>
  </w:style>
  <w:style w:type="character" w:customStyle="1" w:styleId="CommentTextChar">
    <w:name w:val="Comment Text Char"/>
    <w:link w:val="CommentText"/>
    <w:rsid w:val="00BB7C4F"/>
    <w:rPr>
      <w:rFonts w:ascii="Tahoma" w:hAnsi="Tahoma"/>
    </w:rPr>
  </w:style>
  <w:style w:type="paragraph" w:styleId="CommentSubject">
    <w:name w:val="annotation subject"/>
    <w:basedOn w:val="CommentText"/>
    <w:next w:val="CommentText"/>
    <w:link w:val="CommentSubjectChar"/>
    <w:rsid w:val="00BB7C4F"/>
    <w:rPr>
      <w:b/>
      <w:bCs/>
    </w:rPr>
  </w:style>
  <w:style w:type="character" w:customStyle="1" w:styleId="CommentSubjectChar">
    <w:name w:val="Comment Subject Char"/>
    <w:link w:val="CommentSubject"/>
    <w:rsid w:val="00BB7C4F"/>
    <w:rPr>
      <w:rFonts w:ascii="Tahoma" w:hAnsi="Tahoma"/>
      <w:b/>
      <w:bCs/>
    </w:rPr>
  </w:style>
  <w:style w:type="paragraph" w:styleId="NormalWeb">
    <w:name w:val="Normal (Web)"/>
    <w:basedOn w:val="Normal"/>
    <w:uiPriority w:val="99"/>
    <w:unhideWhenUsed/>
    <w:rsid w:val="00920B1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9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03EBF1EDBC741AEAFEEF68A426D50" ma:contentTypeVersion="4" ma:contentTypeDescription="Create a new document." ma:contentTypeScope="" ma:versionID="1f0b3af9d03a690c1fe60a6f31765c70">
  <xsd:schema xmlns:xsd="http://www.w3.org/2001/XMLSchema" xmlns:xs="http://www.w3.org/2001/XMLSchema" xmlns:p="http://schemas.microsoft.com/office/2006/metadata/properties" xmlns:ns2="66372a9a-3d52-47b7-8e5d-6e5a7dc53715" targetNamespace="http://schemas.microsoft.com/office/2006/metadata/properties" ma:root="true" ma:fieldsID="a7866150e886635e3fada14269348d34" ns2:_="">
    <xsd:import namespace="66372a9a-3d52-47b7-8e5d-6e5a7dc537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2a9a-3d52-47b7-8e5d-6e5a7dc53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C311F-AC9A-44F8-B7C7-E5F87ACBCD3E}"/>
</file>

<file path=customXml/itemProps2.xml><?xml version="1.0" encoding="utf-8"?>
<ds:datastoreItem xmlns:ds="http://schemas.openxmlformats.org/officeDocument/2006/customXml" ds:itemID="{98C34DBB-16CF-4CE0-BCB2-2D193585773F}"/>
</file>

<file path=customXml/itemProps3.xml><?xml version="1.0" encoding="utf-8"?>
<ds:datastoreItem xmlns:ds="http://schemas.openxmlformats.org/officeDocument/2006/customXml" ds:itemID="{1CC8CA98-2A0C-4C44-B3A1-7FD685B8D2E3}"/>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ada</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ada</dc:creator>
  <cp:keywords/>
  <dc:description/>
  <cp:lastModifiedBy>Carrie Kiley</cp:lastModifiedBy>
  <cp:revision>3</cp:revision>
  <cp:lastPrinted>2006-01-19T20:27:00Z</cp:lastPrinted>
  <dcterms:created xsi:type="dcterms:W3CDTF">2022-05-10T21:59:00Z</dcterms:created>
  <dcterms:modified xsi:type="dcterms:W3CDTF">2022-05-10T22:00:00Z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0x010100E5F03EBF1EDBC741AEAFEEF68A426D50</vt:lpwstr>
  </property>
</Properties>
</file>