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62AF" w14:textId="77777777" w:rsidR="00DB6966" w:rsidRPr="00F73E11" w:rsidRDefault="00DB6966">
      <w:pPr>
        <w:jc w:val="right"/>
        <w:rPr>
          <w:rFonts w:ascii="Calibri" w:hAnsi="Calibri" w:cs="Arial"/>
          <w:bCs/>
          <w:szCs w:val="24"/>
        </w:rPr>
      </w:pPr>
      <w:r w:rsidRPr="00F73E11">
        <w:rPr>
          <w:rFonts w:ascii="Calibri" w:hAnsi="Calibri" w:cs="Arial"/>
          <w:bCs/>
          <w:szCs w:val="24"/>
        </w:rPr>
        <w:t xml:space="preserve">Effective Date: </w:t>
      </w:r>
    </w:p>
    <w:p w14:paraId="1D8A92AB" w14:textId="77777777" w:rsidR="00DB6966" w:rsidRPr="00F73E11" w:rsidRDefault="00DB6966">
      <w:pPr>
        <w:jc w:val="right"/>
        <w:rPr>
          <w:rFonts w:ascii="Calibri" w:hAnsi="Calibri" w:cs="Arial"/>
          <w:bCs/>
          <w:szCs w:val="24"/>
        </w:rPr>
      </w:pPr>
      <w:r w:rsidRPr="00F73E11">
        <w:rPr>
          <w:rFonts w:ascii="Calibri" w:hAnsi="Calibri" w:cs="Arial"/>
          <w:bCs/>
          <w:szCs w:val="24"/>
        </w:rPr>
        <w:t xml:space="preserve">Revision Date: </w:t>
      </w:r>
    </w:p>
    <w:p w14:paraId="68295B59" w14:textId="77777777" w:rsidR="00DB6966" w:rsidRPr="00F73E11" w:rsidRDefault="00DB6966">
      <w:pPr>
        <w:jc w:val="right"/>
        <w:rPr>
          <w:rFonts w:ascii="Calibri" w:hAnsi="Calibri" w:cs="Arial"/>
          <w:bCs/>
          <w:szCs w:val="24"/>
        </w:rPr>
      </w:pPr>
      <w:r w:rsidRPr="00F73E11">
        <w:rPr>
          <w:rFonts w:ascii="Calibri" w:hAnsi="Calibri" w:cs="Arial"/>
          <w:bCs/>
          <w:szCs w:val="24"/>
        </w:rPr>
        <w:t xml:space="preserve">Approved: </w:t>
      </w:r>
    </w:p>
    <w:p w14:paraId="15A24C23" w14:textId="77777777" w:rsidR="00B7172E" w:rsidRPr="00F73E11" w:rsidRDefault="00DB6966" w:rsidP="00E9397B">
      <w:pPr>
        <w:pStyle w:val="Heading2"/>
        <w:rPr>
          <w:rFonts w:ascii="Calibri" w:hAnsi="Calibri" w:cs="Arial"/>
          <w:b w:val="0"/>
          <w:sz w:val="24"/>
          <w:szCs w:val="24"/>
        </w:rPr>
      </w:pPr>
      <w:r w:rsidRPr="00F73E11">
        <w:rPr>
          <w:rFonts w:ascii="Calibri" w:hAnsi="Calibri" w:cs="Arial"/>
          <w:b w:val="0"/>
          <w:sz w:val="24"/>
          <w:szCs w:val="24"/>
        </w:rPr>
        <w:t xml:space="preserve">Review Date: </w:t>
      </w:r>
    </w:p>
    <w:p w14:paraId="0E4F9649" w14:textId="77777777" w:rsidR="00DB6966" w:rsidRPr="00E9397B" w:rsidRDefault="00DB6966">
      <w:pPr>
        <w:rPr>
          <w:rFonts w:ascii="Arial" w:hAnsi="Arial" w:cs="Arial"/>
          <w:sz w:val="20"/>
        </w:rPr>
      </w:pPr>
    </w:p>
    <w:p w14:paraId="1E453182" w14:textId="77777777" w:rsidR="00DB6966" w:rsidRPr="00F73E11" w:rsidRDefault="00AB24F3" w:rsidP="00AB24F3">
      <w:pPr>
        <w:jc w:val="center"/>
        <w:rPr>
          <w:rFonts w:ascii="Calibri" w:hAnsi="Calibri" w:cs="Arial"/>
          <w:b/>
          <w:bCs/>
          <w:sz w:val="32"/>
          <w:szCs w:val="32"/>
          <w:u w:val="single"/>
        </w:rPr>
      </w:pPr>
      <w:r w:rsidRPr="00F73E11">
        <w:rPr>
          <w:rFonts w:ascii="Calibri" w:hAnsi="Calibri" w:cs="Arial"/>
          <w:b/>
          <w:bCs/>
          <w:sz w:val="32"/>
          <w:szCs w:val="32"/>
          <w:u w:val="single"/>
        </w:rPr>
        <w:t>Appeals Policy Template</w:t>
      </w:r>
    </w:p>
    <w:p w14:paraId="5F890A89" w14:textId="77777777" w:rsidR="00AB24F3" w:rsidRPr="00E9397B" w:rsidRDefault="00AB24F3">
      <w:pPr>
        <w:rPr>
          <w:rFonts w:ascii="Arial" w:hAnsi="Arial" w:cs="Arial"/>
          <w:sz w:val="20"/>
        </w:rPr>
      </w:pPr>
    </w:p>
    <w:p w14:paraId="27662075" w14:textId="77777777" w:rsidR="00670973" w:rsidRPr="00F73E11" w:rsidRDefault="00670973">
      <w:pPr>
        <w:rPr>
          <w:rFonts w:ascii="Calibri" w:hAnsi="Calibri"/>
          <w:color w:val="0070C0"/>
          <w:szCs w:val="24"/>
        </w:rPr>
      </w:pPr>
      <w:r w:rsidRPr="00F73E11">
        <w:rPr>
          <w:rFonts w:ascii="Calibri" w:hAnsi="Calibri"/>
          <w:color w:val="0070C0"/>
          <w:szCs w:val="24"/>
        </w:rPr>
        <w:t>The affiliate may use this information as a guide in developing a policy applicable to the affiliate.</w:t>
      </w:r>
    </w:p>
    <w:p w14:paraId="13F7F78E" w14:textId="77777777" w:rsidR="00670973" w:rsidRPr="00F73E11" w:rsidRDefault="00670973">
      <w:pPr>
        <w:rPr>
          <w:rFonts w:ascii="Calibri" w:hAnsi="Calibri" w:cs="Arial"/>
          <w:szCs w:val="24"/>
        </w:rPr>
      </w:pPr>
    </w:p>
    <w:p w14:paraId="2AE0CE44" w14:textId="77777777" w:rsidR="00DB6966" w:rsidRPr="00F73E11" w:rsidRDefault="00DB6966">
      <w:p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This policy ensures that the </w:t>
      </w:r>
      <w:r w:rsidR="00670973" w:rsidRPr="00F73E11">
        <w:rPr>
          <w:rFonts w:ascii="Calibri" w:hAnsi="Calibri" w:cs="Arial"/>
          <w:szCs w:val="24"/>
        </w:rPr>
        <w:t>&lt;affiliate&gt;</w:t>
      </w:r>
      <w:r w:rsidR="00970458" w:rsidRPr="00F73E11">
        <w:rPr>
          <w:rFonts w:ascii="Calibri" w:hAnsi="Calibri" w:cs="Arial"/>
          <w:szCs w:val="24"/>
        </w:rPr>
        <w:t xml:space="preserve"> </w:t>
      </w:r>
      <w:r w:rsidR="00711CFC" w:rsidRPr="00F73E11">
        <w:rPr>
          <w:rFonts w:ascii="Calibri" w:hAnsi="Calibri" w:cs="Arial"/>
          <w:szCs w:val="24"/>
        </w:rPr>
        <w:t>has in place a procedure to review any appeals of Board of Director</w:t>
      </w:r>
      <w:r w:rsidR="00C5628B" w:rsidRPr="00F73E11">
        <w:rPr>
          <w:rFonts w:ascii="Calibri" w:hAnsi="Calibri" w:cs="Arial"/>
          <w:color w:val="FF0000"/>
          <w:szCs w:val="24"/>
        </w:rPr>
        <w:t>’</w:t>
      </w:r>
      <w:r w:rsidR="00711CFC" w:rsidRPr="00F73E11">
        <w:rPr>
          <w:rFonts w:ascii="Calibri" w:hAnsi="Calibri" w:cs="Arial"/>
          <w:szCs w:val="24"/>
        </w:rPr>
        <w:t xml:space="preserve">s decisions by any member of </w:t>
      </w:r>
      <w:r w:rsidR="00670973" w:rsidRPr="00F73E11">
        <w:rPr>
          <w:rFonts w:ascii="Calibri" w:hAnsi="Calibri" w:cs="Arial"/>
          <w:szCs w:val="24"/>
        </w:rPr>
        <w:t>the &lt;affiliate&gt;.</w:t>
      </w:r>
    </w:p>
    <w:p w14:paraId="0D55CBB7" w14:textId="77777777" w:rsidR="00DB6966" w:rsidRPr="00F73E11" w:rsidRDefault="00DB6966">
      <w:pPr>
        <w:rPr>
          <w:rFonts w:ascii="Calibri" w:hAnsi="Calibri" w:cs="Arial"/>
          <w:szCs w:val="24"/>
        </w:rPr>
      </w:pPr>
    </w:p>
    <w:p w14:paraId="2F74EA1F" w14:textId="77777777" w:rsidR="00DB6966" w:rsidRPr="00F73E11" w:rsidRDefault="00670973">
      <w:pPr>
        <w:rPr>
          <w:rFonts w:ascii="Calibri" w:hAnsi="Calibri" w:cs="Arial"/>
          <w:bCs/>
          <w:szCs w:val="24"/>
          <w:u w:val="single"/>
        </w:rPr>
      </w:pPr>
      <w:r w:rsidRPr="00F73E11">
        <w:rPr>
          <w:rFonts w:ascii="Calibri" w:hAnsi="Calibri" w:cs="Arial"/>
          <w:bCs/>
          <w:szCs w:val="24"/>
          <w:u w:val="single"/>
        </w:rPr>
        <w:t>Procedures</w:t>
      </w:r>
    </w:p>
    <w:p w14:paraId="33467B68" w14:textId="77777777" w:rsidR="00490427" w:rsidRPr="00F73E11" w:rsidRDefault="00711CFC" w:rsidP="00670973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Any current member of the </w:t>
      </w:r>
      <w:r w:rsidR="00670973" w:rsidRPr="00F73E11">
        <w:rPr>
          <w:rFonts w:ascii="Calibri" w:hAnsi="Calibri" w:cs="Arial"/>
          <w:szCs w:val="24"/>
        </w:rPr>
        <w:t>&lt;affiliate&gt;</w:t>
      </w:r>
      <w:r w:rsidRPr="00F73E11">
        <w:rPr>
          <w:rFonts w:ascii="Calibri" w:hAnsi="Calibri" w:cs="Arial"/>
          <w:szCs w:val="24"/>
        </w:rPr>
        <w:t xml:space="preserve"> may file an appeal</w:t>
      </w:r>
      <w:r w:rsidR="00C5628B" w:rsidRPr="00F73E11">
        <w:rPr>
          <w:rFonts w:ascii="Calibri" w:hAnsi="Calibri" w:cs="Arial"/>
          <w:szCs w:val="24"/>
        </w:rPr>
        <w:t xml:space="preserve"> related to a decision made by the Affiliate Board of Directors</w:t>
      </w:r>
      <w:r w:rsidRPr="00F73E11">
        <w:rPr>
          <w:rFonts w:ascii="Calibri" w:hAnsi="Calibri" w:cs="Arial"/>
          <w:szCs w:val="24"/>
        </w:rPr>
        <w:t>.</w:t>
      </w:r>
    </w:p>
    <w:p w14:paraId="31F91DF2" w14:textId="77777777" w:rsidR="00670973" w:rsidRPr="00F73E11" w:rsidRDefault="00670973" w:rsidP="00670973">
      <w:pPr>
        <w:ind w:left="720"/>
        <w:rPr>
          <w:rFonts w:ascii="Calibri" w:hAnsi="Calibri" w:cs="Arial"/>
          <w:szCs w:val="24"/>
        </w:rPr>
      </w:pPr>
    </w:p>
    <w:p w14:paraId="3CFEAC99" w14:textId="77777777" w:rsidR="00711CFC" w:rsidRPr="00F73E11" w:rsidRDefault="00711CFC" w:rsidP="00670973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Appeals can be made within 30 days of the Board of Directors minutes being shared with </w:t>
      </w:r>
      <w:r w:rsidR="00670973" w:rsidRPr="00F73E11">
        <w:rPr>
          <w:rFonts w:ascii="Calibri" w:hAnsi="Calibri" w:cs="Arial"/>
          <w:szCs w:val="24"/>
        </w:rPr>
        <w:t xml:space="preserve">&lt;affiliate&gt; </w:t>
      </w:r>
      <w:r w:rsidRPr="00F73E11">
        <w:rPr>
          <w:rFonts w:ascii="Calibri" w:hAnsi="Calibri" w:cs="Arial"/>
          <w:szCs w:val="24"/>
        </w:rPr>
        <w:t>members.</w:t>
      </w:r>
    </w:p>
    <w:p w14:paraId="113041B3" w14:textId="77777777" w:rsidR="00670973" w:rsidRPr="00F73E11" w:rsidRDefault="00670973" w:rsidP="00670973">
      <w:pPr>
        <w:ind w:left="720"/>
        <w:rPr>
          <w:rFonts w:ascii="Calibri" w:hAnsi="Calibri" w:cs="Arial"/>
          <w:szCs w:val="24"/>
        </w:rPr>
      </w:pPr>
    </w:p>
    <w:p w14:paraId="03553AE2" w14:textId="77777777" w:rsidR="00711CFC" w:rsidRPr="00F73E11" w:rsidRDefault="00711CFC" w:rsidP="00670973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An appellant must </w:t>
      </w:r>
      <w:r w:rsidR="00670973" w:rsidRPr="00F73E11">
        <w:rPr>
          <w:rFonts w:ascii="Calibri" w:hAnsi="Calibri" w:cs="Arial"/>
          <w:szCs w:val="24"/>
        </w:rPr>
        <w:t>submit a written letter to the p</w:t>
      </w:r>
      <w:r w:rsidRPr="00F73E11">
        <w:rPr>
          <w:rFonts w:ascii="Calibri" w:hAnsi="Calibri" w:cs="Arial"/>
          <w:szCs w:val="24"/>
        </w:rPr>
        <w:t xml:space="preserve">resident of </w:t>
      </w:r>
      <w:r w:rsidR="00670973" w:rsidRPr="00F73E11">
        <w:rPr>
          <w:rFonts w:ascii="Calibri" w:hAnsi="Calibri" w:cs="Arial"/>
          <w:szCs w:val="24"/>
        </w:rPr>
        <w:t>&lt;affiliate&gt;</w:t>
      </w:r>
      <w:r w:rsidRPr="00F73E11">
        <w:rPr>
          <w:rFonts w:ascii="Calibri" w:hAnsi="Calibri" w:cs="Arial"/>
          <w:szCs w:val="24"/>
        </w:rPr>
        <w:t xml:space="preserve"> stating:</w:t>
      </w:r>
    </w:p>
    <w:p w14:paraId="77C0B52F" w14:textId="77777777" w:rsidR="00711CFC" w:rsidRPr="00F73E11" w:rsidRDefault="00711CFC" w:rsidP="00711CFC">
      <w:pPr>
        <w:numPr>
          <w:ilvl w:val="1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>Decision being appealed</w:t>
      </w:r>
    </w:p>
    <w:p w14:paraId="36F3B80D" w14:textId="77777777" w:rsidR="00711CFC" w:rsidRPr="00F73E11" w:rsidRDefault="00711CFC" w:rsidP="00711CFC">
      <w:pPr>
        <w:numPr>
          <w:ilvl w:val="1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>Date of the Decision</w:t>
      </w:r>
    </w:p>
    <w:p w14:paraId="3EE88B63" w14:textId="77777777" w:rsidR="00711CFC" w:rsidRPr="00F73E11" w:rsidRDefault="00711CFC" w:rsidP="00711CFC">
      <w:pPr>
        <w:numPr>
          <w:ilvl w:val="1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>Why the Appellant feels the decision is improper; and</w:t>
      </w:r>
    </w:p>
    <w:p w14:paraId="7A38256F" w14:textId="77777777" w:rsidR="00711CFC" w:rsidRPr="00F73E11" w:rsidRDefault="00711CFC" w:rsidP="00670973">
      <w:pPr>
        <w:numPr>
          <w:ilvl w:val="1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>The redress sought by the appellant.</w:t>
      </w:r>
    </w:p>
    <w:p w14:paraId="570116AC" w14:textId="77777777" w:rsidR="00670973" w:rsidRPr="00F73E11" w:rsidRDefault="00670973" w:rsidP="00670973">
      <w:pPr>
        <w:ind w:left="1440"/>
        <w:rPr>
          <w:rFonts w:ascii="Calibri" w:hAnsi="Calibri" w:cs="Arial"/>
          <w:szCs w:val="24"/>
        </w:rPr>
      </w:pPr>
    </w:p>
    <w:p w14:paraId="5FCFAE5B" w14:textId="77777777" w:rsidR="00711CFC" w:rsidRPr="00F73E11" w:rsidRDefault="00711CFC" w:rsidP="00711CFC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If the appeal does not contain the information listed above, it will be returned to </w:t>
      </w:r>
      <w:r w:rsidR="0031768A" w:rsidRPr="00F73E11">
        <w:rPr>
          <w:rFonts w:ascii="Calibri" w:hAnsi="Calibri" w:cs="Arial"/>
          <w:szCs w:val="24"/>
        </w:rPr>
        <w:t xml:space="preserve">the appellant, who will be given </w:t>
      </w:r>
      <w:r w:rsidRPr="00F73E11">
        <w:rPr>
          <w:rFonts w:ascii="Calibri" w:hAnsi="Calibri" w:cs="Arial"/>
          <w:szCs w:val="24"/>
        </w:rPr>
        <w:t>twent</w:t>
      </w:r>
      <w:r w:rsidR="00670973" w:rsidRPr="00F73E11">
        <w:rPr>
          <w:rFonts w:ascii="Calibri" w:hAnsi="Calibri" w:cs="Arial"/>
          <w:szCs w:val="24"/>
        </w:rPr>
        <w:t>y-one (21) days to resubmit it.</w:t>
      </w:r>
      <w:r w:rsidRPr="00F73E11">
        <w:rPr>
          <w:rFonts w:ascii="Calibri" w:hAnsi="Calibri" w:cs="Arial"/>
          <w:szCs w:val="24"/>
        </w:rPr>
        <w:t xml:space="preserve"> Failure to furnish the required information within twenty-one (21) days will result in the dismissal of the appeal.</w:t>
      </w:r>
    </w:p>
    <w:p w14:paraId="3D60CC26" w14:textId="77777777" w:rsidR="00970458" w:rsidRPr="00F73E11" w:rsidRDefault="00970458" w:rsidP="006E1124">
      <w:pPr>
        <w:pStyle w:val="ListParagraph"/>
        <w:ind w:left="0"/>
        <w:rPr>
          <w:rFonts w:ascii="Calibri" w:hAnsi="Calibri" w:cs="Arial"/>
          <w:szCs w:val="24"/>
        </w:rPr>
      </w:pPr>
    </w:p>
    <w:p w14:paraId="4584A7A5" w14:textId="77777777" w:rsidR="006E1124" w:rsidRPr="00F73E11" w:rsidRDefault="00711CFC" w:rsidP="006E1124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Upon receipt of the appeal, the President of </w:t>
      </w:r>
      <w:r w:rsidR="00670973" w:rsidRPr="00F73E11">
        <w:rPr>
          <w:rFonts w:ascii="Calibri" w:hAnsi="Calibri" w:cs="Arial"/>
          <w:szCs w:val="24"/>
        </w:rPr>
        <w:t>the &lt;affiliate&gt;</w:t>
      </w:r>
      <w:r w:rsidRPr="00F73E11">
        <w:rPr>
          <w:rFonts w:ascii="Calibri" w:hAnsi="Calibri" w:cs="Arial"/>
          <w:szCs w:val="24"/>
        </w:rPr>
        <w:t xml:space="preserve"> will appoint an appeals co</w:t>
      </w:r>
      <w:r w:rsidR="0031768A" w:rsidRPr="00F73E11">
        <w:rPr>
          <w:rFonts w:ascii="Calibri" w:hAnsi="Calibri" w:cs="Arial"/>
          <w:szCs w:val="24"/>
        </w:rPr>
        <w:t>mmittee consisting of three (3</w:t>
      </w:r>
      <w:r w:rsidR="00670973" w:rsidRPr="00F73E11">
        <w:rPr>
          <w:rFonts w:ascii="Calibri" w:hAnsi="Calibri" w:cs="Arial"/>
          <w:szCs w:val="24"/>
        </w:rPr>
        <w:t>) members to review the appeal.</w:t>
      </w:r>
      <w:r w:rsidR="006E1124" w:rsidRPr="00F73E11">
        <w:rPr>
          <w:rFonts w:ascii="Calibri" w:hAnsi="Calibri" w:cs="Arial"/>
          <w:szCs w:val="24"/>
        </w:rPr>
        <w:t xml:space="preserve"> T</w:t>
      </w:r>
      <w:r w:rsidR="0031768A" w:rsidRPr="00F73E11">
        <w:rPr>
          <w:rFonts w:ascii="Calibri" w:hAnsi="Calibri" w:cs="Arial"/>
          <w:szCs w:val="24"/>
        </w:rPr>
        <w:t>he appeals committee shall consist of t</w:t>
      </w:r>
      <w:r w:rsidR="006E1124" w:rsidRPr="00F73E11">
        <w:rPr>
          <w:rFonts w:ascii="Calibri" w:hAnsi="Calibri" w:cs="Arial"/>
          <w:szCs w:val="24"/>
        </w:rPr>
        <w:t xml:space="preserve">wo former members of the Board of Directors who did not participate in the decision being appealed and one </w:t>
      </w:r>
      <w:r w:rsidR="00AF125C" w:rsidRPr="00F73E11">
        <w:rPr>
          <w:rFonts w:ascii="Calibri" w:hAnsi="Calibri" w:cs="Arial"/>
          <w:szCs w:val="24"/>
        </w:rPr>
        <w:t>affiliate</w:t>
      </w:r>
      <w:r w:rsidR="006E1124" w:rsidRPr="00F73E11">
        <w:rPr>
          <w:rFonts w:ascii="Calibri" w:hAnsi="Calibri" w:cs="Arial"/>
          <w:szCs w:val="24"/>
        </w:rPr>
        <w:t xml:space="preserve"> member who did not participate i</w:t>
      </w:r>
      <w:r w:rsidR="00670973" w:rsidRPr="00F73E11">
        <w:rPr>
          <w:rFonts w:ascii="Calibri" w:hAnsi="Calibri" w:cs="Arial"/>
          <w:szCs w:val="24"/>
        </w:rPr>
        <w:t xml:space="preserve">n the decision being appealed. </w:t>
      </w:r>
      <w:r w:rsidR="006E1124" w:rsidRPr="00F73E11">
        <w:rPr>
          <w:rFonts w:ascii="Calibri" w:hAnsi="Calibri" w:cs="Arial"/>
          <w:szCs w:val="24"/>
        </w:rPr>
        <w:t>Their decision will be the final d</w:t>
      </w:r>
      <w:r w:rsidR="00670973" w:rsidRPr="00F73E11">
        <w:rPr>
          <w:rFonts w:ascii="Calibri" w:hAnsi="Calibri" w:cs="Arial"/>
          <w:szCs w:val="24"/>
        </w:rPr>
        <w:t xml:space="preserve">ecision concerning the appeal. </w:t>
      </w:r>
      <w:r w:rsidR="006E1124" w:rsidRPr="00F73E11">
        <w:rPr>
          <w:rFonts w:ascii="Calibri" w:hAnsi="Calibri" w:cs="Arial"/>
          <w:szCs w:val="24"/>
        </w:rPr>
        <w:t>This committee will arrange for any meetings to be held, if necessary, and notify the appellant of the decision of the appeals committee.</w:t>
      </w:r>
    </w:p>
    <w:p w14:paraId="0D20369E" w14:textId="77777777" w:rsidR="006E1124" w:rsidRPr="00F73E11" w:rsidRDefault="006E1124" w:rsidP="006E1124">
      <w:pPr>
        <w:pStyle w:val="ListParagraph"/>
        <w:rPr>
          <w:rFonts w:ascii="Calibri" w:hAnsi="Calibri" w:cs="Arial"/>
          <w:szCs w:val="24"/>
        </w:rPr>
      </w:pPr>
    </w:p>
    <w:p w14:paraId="27DBFE6D" w14:textId="77777777" w:rsidR="006E1124" w:rsidRPr="00F73E11" w:rsidRDefault="00711CFC" w:rsidP="006E1124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>This committee shall decide to (a) dismiss the appeal, (b) remand the appeal to the body who</w:t>
      </w:r>
      <w:r w:rsidR="00864679" w:rsidRPr="00F73E11">
        <w:rPr>
          <w:rFonts w:ascii="Calibri" w:hAnsi="Calibri" w:cs="Arial"/>
          <w:szCs w:val="24"/>
        </w:rPr>
        <w:t>se</w:t>
      </w:r>
      <w:r w:rsidRPr="00F73E11">
        <w:rPr>
          <w:rFonts w:ascii="Calibri" w:hAnsi="Calibri" w:cs="Arial"/>
          <w:szCs w:val="24"/>
        </w:rPr>
        <w:t xml:space="preserve"> decision is the subject of the appeal with instructions to reverse its decision, or (c) determine that a hearing is necessary </w:t>
      </w:r>
      <w:proofErr w:type="gramStart"/>
      <w:r w:rsidRPr="00F73E11">
        <w:rPr>
          <w:rFonts w:ascii="Calibri" w:hAnsi="Calibri" w:cs="Arial"/>
          <w:szCs w:val="24"/>
        </w:rPr>
        <w:t>in order to</w:t>
      </w:r>
      <w:proofErr w:type="gramEnd"/>
      <w:r w:rsidRPr="00F73E11">
        <w:rPr>
          <w:rFonts w:ascii="Calibri" w:hAnsi="Calibri" w:cs="Arial"/>
          <w:szCs w:val="24"/>
        </w:rPr>
        <w:t xml:space="preserve"> fully consider the facts of the appeal.  </w:t>
      </w:r>
      <w:r w:rsidR="006E1124" w:rsidRPr="00F73E11">
        <w:rPr>
          <w:rFonts w:ascii="Calibri" w:hAnsi="Calibri" w:cs="Arial"/>
          <w:szCs w:val="24"/>
        </w:rPr>
        <w:br/>
      </w:r>
    </w:p>
    <w:p w14:paraId="3DBC69D3" w14:textId="77777777" w:rsidR="006E1124" w:rsidRPr="00F73E11" w:rsidRDefault="006E1124" w:rsidP="006E1124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 xml:space="preserve">The appeals committee may seek legal guidance as approved by the </w:t>
      </w:r>
      <w:r w:rsidR="00670973" w:rsidRPr="00F73E11">
        <w:rPr>
          <w:rFonts w:ascii="Calibri" w:hAnsi="Calibri" w:cs="Arial"/>
          <w:szCs w:val="24"/>
        </w:rPr>
        <w:t>&lt;affiliate&gt;</w:t>
      </w:r>
      <w:r w:rsidRPr="00F73E11">
        <w:rPr>
          <w:rFonts w:ascii="Calibri" w:hAnsi="Calibri" w:cs="Arial"/>
          <w:szCs w:val="24"/>
        </w:rPr>
        <w:t xml:space="preserve"> Board of Directors.</w:t>
      </w:r>
      <w:r w:rsidRPr="00F73E11">
        <w:rPr>
          <w:rFonts w:ascii="Calibri" w:hAnsi="Calibri" w:cs="Arial"/>
          <w:szCs w:val="24"/>
        </w:rPr>
        <w:br/>
      </w:r>
    </w:p>
    <w:p w14:paraId="00348F69" w14:textId="77777777" w:rsidR="006E1124" w:rsidRPr="00F73E11" w:rsidRDefault="006E1124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t>When the appeals committee has reached a decision, the committee will notify the appellan</w:t>
      </w:r>
      <w:r w:rsidR="00864679" w:rsidRPr="00F73E11">
        <w:rPr>
          <w:rFonts w:ascii="Calibri" w:hAnsi="Calibri" w:cs="Arial"/>
          <w:szCs w:val="24"/>
        </w:rPr>
        <w:t xml:space="preserve">t in writing of the decision within 5 business days of the Committee’s decision by secured mail (USPS Certified or UPS) </w:t>
      </w:r>
      <w:r w:rsidRPr="00F73E11">
        <w:rPr>
          <w:rFonts w:ascii="Calibri" w:hAnsi="Calibri" w:cs="Arial"/>
          <w:szCs w:val="24"/>
        </w:rPr>
        <w:t xml:space="preserve">and send copies to the </w:t>
      </w:r>
      <w:r w:rsidR="00670973" w:rsidRPr="00F73E11">
        <w:rPr>
          <w:rFonts w:ascii="Calibri" w:hAnsi="Calibri" w:cs="Arial"/>
          <w:szCs w:val="24"/>
        </w:rPr>
        <w:t>&lt;affiliate&gt;</w:t>
      </w:r>
      <w:r w:rsidRPr="00F73E11">
        <w:rPr>
          <w:rFonts w:ascii="Calibri" w:hAnsi="Calibri" w:cs="Arial"/>
          <w:szCs w:val="24"/>
        </w:rPr>
        <w:t xml:space="preserve"> Board of Directors.  </w:t>
      </w:r>
      <w:r w:rsidRPr="00F73E11">
        <w:rPr>
          <w:rFonts w:ascii="Calibri" w:hAnsi="Calibri" w:cs="Arial"/>
          <w:szCs w:val="24"/>
        </w:rPr>
        <w:br/>
      </w:r>
    </w:p>
    <w:p w14:paraId="7B6E54C1" w14:textId="77777777" w:rsidR="006E1124" w:rsidRPr="00F73E11" w:rsidRDefault="006E1124">
      <w:pPr>
        <w:numPr>
          <w:ilvl w:val="0"/>
          <w:numId w:val="1"/>
        </w:numPr>
        <w:rPr>
          <w:rFonts w:ascii="Calibri" w:hAnsi="Calibri" w:cs="Arial"/>
          <w:szCs w:val="24"/>
        </w:rPr>
      </w:pPr>
      <w:r w:rsidRPr="00F73E11">
        <w:rPr>
          <w:rFonts w:ascii="Calibri" w:hAnsi="Calibri" w:cs="Arial"/>
          <w:szCs w:val="24"/>
        </w:rPr>
        <w:lastRenderedPageBreak/>
        <w:t xml:space="preserve">Appeals will be reviewed within thirty (30) days of receipt. </w:t>
      </w:r>
      <w:r w:rsidR="00864679" w:rsidRPr="00F73E11">
        <w:rPr>
          <w:rFonts w:ascii="Calibri" w:hAnsi="Calibri" w:cs="Arial"/>
          <w:szCs w:val="24"/>
        </w:rPr>
        <w:t xml:space="preserve">The Committee will notify the appellant that their appeal has been received.  </w:t>
      </w:r>
      <w:r w:rsidRPr="00F73E11">
        <w:rPr>
          <w:rFonts w:ascii="Calibri" w:hAnsi="Calibri" w:cs="Arial"/>
          <w:szCs w:val="24"/>
        </w:rPr>
        <w:t>Written notification will be sent to the appellant if the appeals committee requests more time for a decision.</w:t>
      </w:r>
    </w:p>
    <w:p w14:paraId="52B6775C" w14:textId="77777777" w:rsidR="006E1124" w:rsidRPr="00E9397B" w:rsidRDefault="006E1124" w:rsidP="006E1124">
      <w:pPr>
        <w:ind w:left="720"/>
        <w:rPr>
          <w:rFonts w:ascii="Arial" w:hAnsi="Arial" w:cs="Arial"/>
          <w:sz w:val="20"/>
        </w:rPr>
      </w:pPr>
    </w:p>
    <w:p w14:paraId="3D0DE767" w14:textId="77777777" w:rsidR="00DB6966" w:rsidRPr="00E9397B" w:rsidRDefault="00DB6966">
      <w:pPr>
        <w:rPr>
          <w:rFonts w:ascii="Arial" w:hAnsi="Arial" w:cs="Arial"/>
          <w:sz w:val="20"/>
        </w:rPr>
      </w:pPr>
    </w:p>
    <w:p w14:paraId="5973323C" w14:textId="77777777" w:rsidR="00DB6966" w:rsidRPr="00E9397B" w:rsidRDefault="00DB6966">
      <w:pPr>
        <w:rPr>
          <w:rFonts w:ascii="Arial" w:hAnsi="Arial" w:cs="Arial"/>
          <w:sz w:val="20"/>
        </w:rPr>
      </w:pPr>
    </w:p>
    <w:p w14:paraId="335AFD24" w14:textId="77777777" w:rsidR="00DB6966" w:rsidRPr="00E9397B" w:rsidRDefault="00DB6966">
      <w:pPr>
        <w:rPr>
          <w:rFonts w:ascii="Arial" w:hAnsi="Arial" w:cs="Arial"/>
          <w:sz w:val="20"/>
        </w:rPr>
      </w:pPr>
    </w:p>
    <w:p w14:paraId="44AE23A5" w14:textId="77777777" w:rsidR="00DB6966" w:rsidRPr="00E9397B" w:rsidRDefault="00DB6966">
      <w:pPr>
        <w:rPr>
          <w:rFonts w:ascii="Arial" w:hAnsi="Arial" w:cs="Arial"/>
          <w:sz w:val="20"/>
        </w:rPr>
      </w:pPr>
    </w:p>
    <w:p w14:paraId="679A5B6A" w14:textId="77777777" w:rsidR="00DB6966" w:rsidRPr="00E9397B" w:rsidRDefault="00DB696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sectPr w:rsidR="00DB6966" w:rsidRPr="00E9397B" w:rsidSect="00670973">
      <w:pgSz w:w="12240" w:h="15840" w:code="1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1D521" w14:textId="77777777" w:rsidR="00F73E11" w:rsidRDefault="00F73E11">
      <w:r>
        <w:separator/>
      </w:r>
    </w:p>
  </w:endnote>
  <w:endnote w:type="continuationSeparator" w:id="0">
    <w:p w14:paraId="00DC9D3A" w14:textId="77777777" w:rsidR="00F73E11" w:rsidRDefault="00F7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CF9F" w14:textId="77777777" w:rsidR="00F73E11" w:rsidRDefault="00F73E11">
      <w:r>
        <w:separator/>
      </w:r>
    </w:p>
  </w:footnote>
  <w:footnote w:type="continuationSeparator" w:id="0">
    <w:p w14:paraId="45A27E85" w14:textId="77777777" w:rsidR="00F73E11" w:rsidRDefault="00F73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75D59"/>
    <w:multiLevelType w:val="hybridMultilevel"/>
    <w:tmpl w:val="CB203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3564C"/>
    <w:multiLevelType w:val="hybridMultilevel"/>
    <w:tmpl w:val="EDBCE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54D8A"/>
    <w:multiLevelType w:val="hybridMultilevel"/>
    <w:tmpl w:val="FA401F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73DD3"/>
    <w:multiLevelType w:val="hybridMultilevel"/>
    <w:tmpl w:val="299E0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6218798">
    <w:abstractNumId w:val="0"/>
  </w:num>
  <w:num w:numId="2" w16cid:durableId="31344142">
    <w:abstractNumId w:val="3"/>
  </w:num>
  <w:num w:numId="3" w16cid:durableId="1209951305">
    <w:abstractNumId w:val="1"/>
  </w:num>
  <w:num w:numId="4" w16cid:durableId="537351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3175"/>
    <w:rsid w:val="000E3B19"/>
    <w:rsid w:val="00267AF3"/>
    <w:rsid w:val="0031768A"/>
    <w:rsid w:val="003D5962"/>
    <w:rsid w:val="004564B5"/>
    <w:rsid w:val="00490427"/>
    <w:rsid w:val="006279FA"/>
    <w:rsid w:val="00670973"/>
    <w:rsid w:val="006E1124"/>
    <w:rsid w:val="00711CFC"/>
    <w:rsid w:val="0076381C"/>
    <w:rsid w:val="00864679"/>
    <w:rsid w:val="00970458"/>
    <w:rsid w:val="00AB24F3"/>
    <w:rsid w:val="00AD6EFE"/>
    <w:rsid w:val="00AF125C"/>
    <w:rsid w:val="00B7172E"/>
    <w:rsid w:val="00C37D84"/>
    <w:rsid w:val="00C5628B"/>
    <w:rsid w:val="00CB7D25"/>
    <w:rsid w:val="00DB6966"/>
    <w:rsid w:val="00E03FF1"/>
    <w:rsid w:val="00E53839"/>
    <w:rsid w:val="00E9397B"/>
    <w:rsid w:val="00ED0493"/>
    <w:rsid w:val="00F65935"/>
    <w:rsid w:val="00F718D9"/>
    <w:rsid w:val="00F73E11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A1BC4C"/>
  <w15:chartTrackingRefBased/>
  <w15:docId w15:val="{B31AAD8A-2A4C-403D-99A2-3670657E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rFonts w:cs="Tahoma"/>
      <w:b/>
      <w:bC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B3175"/>
    <w:pPr>
      <w:jc w:val="center"/>
      <w:outlineLvl w:val="0"/>
    </w:pPr>
    <w:rPr>
      <w:rFonts w:ascii="Times" w:hAnsi="Times"/>
      <w:bCs/>
    </w:rPr>
  </w:style>
  <w:style w:type="paragraph" w:styleId="ListParagraph">
    <w:name w:val="List Paragraph"/>
    <w:basedOn w:val="Normal"/>
    <w:uiPriority w:val="34"/>
    <w:qFormat/>
    <w:rsid w:val="00970458"/>
    <w:pPr>
      <w:ind w:left="720"/>
    </w:pPr>
  </w:style>
  <w:style w:type="character" w:styleId="CommentReference">
    <w:name w:val="annotation reference"/>
    <w:rsid w:val="00C56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628B"/>
    <w:rPr>
      <w:sz w:val="20"/>
    </w:rPr>
  </w:style>
  <w:style w:type="character" w:customStyle="1" w:styleId="CommentTextChar">
    <w:name w:val="Comment Text Char"/>
    <w:link w:val="CommentText"/>
    <w:rsid w:val="00C5628B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C5628B"/>
    <w:rPr>
      <w:b/>
      <w:bCs/>
    </w:rPr>
  </w:style>
  <w:style w:type="character" w:customStyle="1" w:styleId="CommentSubjectChar">
    <w:name w:val="Comment Subject Char"/>
    <w:link w:val="CommentSubject"/>
    <w:rsid w:val="00C5628B"/>
    <w:rPr>
      <w:rFonts w:ascii="Tahoma" w:hAnsi="Tahoma"/>
      <w:b/>
      <w:bCs/>
    </w:rPr>
  </w:style>
  <w:style w:type="paragraph" w:styleId="BalloonText">
    <w:name w:val="Balloon Text"/>
    <w:basedOn w:val="Normal"/>
    <w:link w:val="BalloonTextChar"/>
    <w:rsid w:val="00C5628B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56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03EBF1EDBC741AEAFEEF68A426D50" ma:contentTypeVersion="4" ma:contentTypeDescription="Create a new document." ma:contentTypeScope="" ma:versionID="1f0b3af9d03a690c1fe60a6f31765c70">
  <xsd:schema xmlns:xsd="http://www.w3.org/2001/XMLSchema" xmlns:xs="http://www.w3.org/2001/XMLSchema" xmlns:p="http://schemas.microsoft.com/office/2006/metadata/properties" xmlns:ns2="66372a9a-3d52-47b7-8e5d-6e5a7dc53715" targetNamespace="http://schemas.microsoft.com/office/2006/metadata/properties" ma:root="true" ma:fieldsID="a7866150e886635e3fada14269348d34" ns2:_="">
    <xsd:import namespace="66372a9a-3d52-47b7-8e5d-6e5a7dc53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2a9a-3d52-47b7-8e5d-6e5a7dc53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18085-D3F7-46CD-B617-178C3BFC1038}"/>
</file>

<file path=customXml/itemProps2.xml><?xml version="1.0" encoding="utf-8"?>
<ds:datastoreItem xmlns:ds="http://schemas.openxmlformats.org/officeDocument/2006/customXml" ds:itemID="{489D4CD0-EFB4-4AB7-94AB-BCAE53622493}"/>
</file>

<file path=customXml/itemProps3.xml><?xml version="1.0" encoding="utf-8"?>
<ds:datastoreItem xmlns:ds="http://schemas.openxmlformats.org/officeDocument/2006/customXml" ds:itemID="{60117AA6-F070-494C-ACEC-905E12ACE6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ada</dc:creator>
  <cp:keywords/>
  <cp:lastModifiedBy>Carrie Kiley</cp:lastModifiedBy>
  <cp:revision>2</cp:revision>
  <cp:lastPrinted>2004-10-22T17:04:00Z</cp:lastPrinted>
  <dcterms:created xsi:type="dcterms:W3CDTF">2022-05-10T22:20:00Z</dcterms:created>
  <dcterms:modified xsi:type="dcterms:W3CDTF">2022-05-10T22:20:00Z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0x010100E5F03EBF1EDBC741AEAFEEF68A426D50</vt:lpwstr>
  </property>
</Properties>
</file>