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B26852" w:rsidRPr="00B26852" w14:paraId="3601170C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14:paraId="36C8A5CE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Name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4A8D9E5C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 xml:space="preserve">Ana </w:t>
            </w:r>
            <w:proofErr w:type="spellStart"/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LLinas</w:t>
            </w:r>
            <w:proofErr w:type="spellEnd"/>
          </w:p>
        </w:tc>
      </w:tr>
      <w:tr w:rsidR="00B26852" w:rsidRPr="00B26852" w14:paraId="58816737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62DE0937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Credentials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B14655C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RDN, LDN</w:t>
            </w:r>
          </w:p>
        </w:tc>
      </w:tr>
      <w:tr w:rsidR="00B26852" w:rsidRPr="00B26852" w14:paraId="742C7C5B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77619F4A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Email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728D2D0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hyperlink r:id="rId4" w:tgtFrame="_blank" w:history="1">
              <w:r w:rsidRPr="00B26852">
                <w:rPr>
                  <w:rFonts w:ascii="Roboto" w:eastAsia="Times New Roman" w:hAnsi="Roboto" w:cs="Times New Roman"/>
                  <w:color w:val="1155CC"/>
                  <w:sz w:val="21"/>
                  <w:szCs w:val="21"/>
                  <w:u w:val="single"/>
                </w:rPr>
                <w:t>ana@lifexcelcarolina.com</w:t>
              </w:r>
            </w:hyperlink>
          </w:p>
        </w:tc>
      </w:tr>
      <w:tr w:rsidR="00B26852" w:rsidRPr="00B26852" w14:paraId="281D8409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69ABA691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Phone Number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921FE16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(505) 506-7009</w:t>
            </w:r>
          </w:p>
        </w:tc>
      </w:tr>
      <w:tr w:rsidR="00B26852" w:rsidRPr="00B26852" w14:paraId="7D63C408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0F5F126F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Address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D52D28A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7810 Ballantyne Commons</w:t>
            </w:r>
            <w:proofErr w:type="gramStart"/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, ,</w:t>
            </w:r>
            <w:proofErr w:type="gramEnd"/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 xml:space="preserve"> Charlotte , NC, 28277</w:t>
            </w:r>
          </w:p>
        </w:tc>
      </w:tr>
      <w:tr w:rsidR="00B26852" w:rsidRPr="00B26852" w14:paraId="1BF397D4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7764672E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Academy Number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1D74EB6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898722</w:t>
            </w:r>
          </w:p>
        </w:tc>
      </w:tr>
      <w:tr w:rsidR="00B26852" w:rsidRPr="00B26852" w14:paraId="1DC28D1D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6B144F38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Professional Links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53001D2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hyperlink r:id="rId5" w:tgtFrame="_blank" w:history="1">
              <w:r w:rsidRPr="00B26852">
                <w:rPr>
                  <w:rFonts w:ascii="Roboto" w:eastAsia="Times New Roman" w:hAnsi="Roboto" w:cs="Times New Roman"/>
                  <w:color w:val="1155CC"/>
                  <w:sz w:val="21"/>
                  <w:szCs w:val="21"/>
                  <w:u w:val="single"/>
                </w:rPr>
                <w:t>www.lifexcelcarolina.com</w:t>
              </w:r>
            </w:hyperlink>
          </w:p>
        </w:tc>
      </w:tr>
      <w:tr w:rsidR="00B26852" w:rsidRPr="00B26852" w14:paraId="0EA93331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4BAC5160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Specialties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CBAA06D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CKD, Transplant, Kidney Stones</w:t>
            </w:r>
          </w:p>
        </w:tc>
      </w:tr>
      <w:tr w:rsidR="00B26852" w:rsidRPr="00B26852" w14:paraId="43792C58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0C1D9E1E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Insurance Accepted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747AB07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BCBS, Aetna, Medicare</w:t>
            </w:r>
          </w:p>
        </w:tc>
      </w:tr>
      <w:tr w:rsidR="00B26852" w:rsidRPr="00B26852" w14:paraId="6E87CFF3" w14:textId="77777777" w:rsidTr="00B26852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1AA70F07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Availability by State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5F837F8" w14:textId="77777777" w:rsidR="00B26852" w:rsidRPr="00B26852" w:rsidRDefault="00B26852" w:rsidP="00B26852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B26852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NC, SC</w:t>
            </w:r>
          </w:p>
        </w:tc>
      </w:tr>
    </w:tbl>
    <w:p w14:paraId="5A57C8BA" w14:textId="77777777" w:rsidR="00B26852" w:rsidRDefault="00B26852"/>
    <w:sectPr w:rsidR="00B2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52"/>
    <w:rsid w:val="00B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3169"/>
  <w15:chartTrackingRefBased/>
  <w15:docId w15:val="{4A13CF46-A8F1-4834-92D5-62C5F9F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xcelcarolina.com/" TargetMode="External"/><Relationship Id="rId4" Type="http://schemas.openxmlformats.org/officeDocument/2006/relationships/hyperlink" Target="mailto:ana@lifexcelcarol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</dc:creator>
  <cp:keywords/>
  <dc:description/>
  <cp:lastModifiedBy>Melissa Prest</cp:lastModifiedBy>
  <cp:revision>1</cp:revision>
  <dcterms:created xsi:type="dcterms:W3CDTF">2022-04-19T20:52:00Z</dcterms:created>
  <dcterms:modified xsi:type="dcterms:W3CDTF">2022-04-19T20:54:00Z</dcterms:modified>
</cp:coreProperties>
</file>