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5DE1" w14:textId="77777777" w:rsidR="00164ECF" w:rsidRDefault="00164ECF" w:rsidP="00164ECF">
      <w:pPr>
        <w:ind w:left="3883"/>
        <w:rPr>
          <w:rFonts w:ascii="Times New Roman"/>
          <w:sz w:val="20"/>
        </w:rPr>
      </w:pPr>
      <w:r>
        <w:rPr>
          <w:rFonts w:ascii="Times New Roman"/>
          <w:noProof/>
          <w:sz w:val="20"/>
        </w:rPr>
        <w:drawing>
          <wp:inline distT="0" distB="0" distL="0" distR="0" wp14:anchorId="3D0D89A0" wp14:editId="4B658FBF">
            <wp:extent cx="1371600" cy="914400"/>
            <wp:effectExtent l="0" t="0" r="0" b="0"/>
            <wp:docPr id="1" name="Image 1" descr="A logo of a fire safety compan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fire safety company  Description automatically generated"/>
                    <pic:cNvPicPr/>
                  </pic:nvPicPr>
                  <pic:blipFill>
                    <a:blip r:embed="rId5" cstate="print"/>
                    <a:stretch>
                      <a:fillRect/>
                    </a:stretch>
                  </pic:blipFill>
                  <pic:spPr>
                    <a:xfrm>
                      <a:off x="0" y="0"/>
                      <a:ext cx="1371600" cy="914400"/>
                    </a:xfrm>
                    <a:prstGeom prst="rect">
                      <a:avLst/>
                    </a:prstGeom>
                  </pic:spPr>
                </pic:pic>
              </a:graphicData>
            </a:graphic>
          </wp:inline>
        </w:drawing>
      </w:r>
    </w:p>
    <w:p w14:paraId="62DC6C1C" w14:textId="77777777" w:rsidR="00164ECF" w:rsidRDefault="00164ECF" w:rsidP="00164ECF">
      <w:pPr>
        <w:pStyle w:val="BodyText"/>
        <w:spacing w:before="55"/>
        <w:rPr>
          <w:rFonts w:ascii="Times New Roman"/>
          <w:sz w:val="20"/>
        </w:rPr>
      </w:pPr>
    </w:p>
    <w:tbl>
      <w:tblPr>
        <w:tblW w:w="0" w:type="auto"/>
        <w:tblInd w:w="375" w:type="dxa"/>
        <w:tblBorders>
          <w:top w:val="single" w:sz="6" w:space="0" w:color="84B3DF"/>
          <w:left w:val="single" w:sz="6" w:space="0" w:color="84B3DF"/>
          <w:bottom w:val="single" w:sz="6" w:space="0" w:color="84B3DF"/>
          <w:right w:val="single" w:sz="6" w:space="0" w:color="84B3DF"/>
          <w:insideH w:val="single" w:sz="6" w:space="0" w:color="84B3DF"/>
          <w:insideV w:val="single" w:sz="6" w:space="0" w:color="84B3DF"/>
        </w:tblBorders>
        <w:tblLayout w:type="fixed"/>
        <w:tblCellMar>
          <w:left w:w="0" w:type="dxa"/>
          <w:right w:w="0" w:type="dxa"/>
        </w:tblCellMar>
        <w:tblLook w:val="01E0" w:firstRow="1" w:lastRow="1" w:firstColumn="1" w:lastColumn="1" w:noHBand="0" w:noVBand="0"/>
      </w:tblPr>
      <w:tblGrid>
        <w:gridCol w:w="4045"/>
        <w:gridCol w:w="5300"/>
      </w:tblGrid>
      <w:tr w:rsidR="00164ECF" w14:paraId="06FBEFF1" w14:textId="77777777" w:rsidTr="00EE073F">
        <w:trPr>
          <w:trHeight w:val="299"/>
        </w:trPr>
        <w:tc>
          <w:tcPr>
            <w:tcW w:w="4045" w:type="dxa"/>
            <w:tcBorders>
              <w:right w:val="nil"/>
            </w:tcBorders>
            <w:shd w:val="clear" w:color="auto" w:fill="5B9BD5"/>
          </w:tcPr>
          <w:p w14:paraId="3D2C532D" w14:textId="77777777" w:rsidR="00164ECF" w:rsidRDefault="00164ECF" w:rsidP="00EE073F">
            <w:pPr>
              <w:pStyle w:val="TableParagraph"/>
              <w:ind w:left="80" w:right="94"/>
              <w:jc w:val="center"/>
              <w:rPr>
                <w:b/>
              </w:rPr>
            </w:pPr>
            <w:r>
              <w:rPr>
                <w:b/>
                <w:color w:val="FFFFFF"/>
                <w:spacing w:val="-2"/>
              </w:rPr>
              <w:t>VISION</w:t>
            </w:r>
          </w:p>
        </w:tc>
        <w:tc>
          <w:tcPr>
            <w:tcW w:w="5300" w:type="dxa"/>
            <w:tcBorders>
              <w:left w:val="nil"/>
            </w:tcBorders>
            <w:shd w:val="clear" w:color="auto" w:fill="5B9BD5"/>
          </w:tcPr>
          <w:p w14:paraId="687FB97D" w14:textId="77777777" w:rsidR="00164ECF" w:rsidRDefault="00164ECF" w:rsidP="00EE073F">
            <w:pPr>
              <w:pStyle w:val="TableParagraph"/>
              <w:ind w:left="78" w:right="1"/>
              <w:jc w:val="center"/>
              <w:rPr>
                <w:b/>
              </w:rPr>
            </w:pPr>
            <w:r>
              <w:rPr>
                <w:b/>
                <w:color w:val="FFFFFF"/>
                <w:spacing w:val="-2"/>
              </w:rPr>
              <w:t>MISSION</w:t>
            </w:r>
          </w:p>
        </w:tc>
      </w:tr>
      <w:tr w:rsidR="00164ECF" w14:paraId="5CCBC4D7" w14:textId="77777777" w:rsidTr="00EE073F">
        <w:trPr>
          <w:trHeight w:val="299"/>
        </w:trPr>
        <w:tc>
          <w:tcPr>
            <w:tcW w:w="4045" w:type="dxa"/>
            <w:tcBorders>
              <w:right w:val="nil"/>
            </w:tcBorders>
            <w:shd w:val="clear" w:color="auto" w:fill="D6E6F4"/>
          </w:tcPr>
          <w:p w14:paraId="0A30A9E0" w14:textId="77777777" w:rsidR="00164ECF" w:rsidRDefault="00164ECF" w:rsidP="00EE073F">
            <w:pPr>
              <w:pStyle w:val="TableParagraph"/>
              <w:ind w:left="168" w:right="94"/>
              <w:jc w:val="center"/>
              <w:rPr>
                <w:b/>
              </w:rPr>
            </w:pPr>
            <w:r>
              <w:rPr>
                <w:b/>
              </w:rPr>
              <w:t>(Whom</w:t>
            </w:r>
            <w:r>
              <w:rPr>
                <w:b/>
                <w:spacing w:val="-4"/>
              </w:rPr>
              <w:t xml:space="preserve"> </w:t>
            </w:r>
            <w:r>
              <w:rPr>
                <w:b/>
              </w:rPr>
              <w:t>we’re</w:t>
            </w:r>
            <w:r>
              <w:rPr>
                <w:b/>
                <w:spacing w:val="-3"/>
              </w:rPr>
              <w:t xml:space="preserve"> </w:t>
            </w:r>
            <w:r>
              <w:rPr>
                <w:b/>
                <w:spacing w:val="-2"/>
              </w:rPr>
              <w:t>becoming.)</w:t>
            </w:r>
          </w:p>
        </w:tc>
        <w:tc>
          <w:tcPr>
            <w:tcW w:w="5300" w:type="dxa"/>
            <w:tcBorders>
              <w:left w:val="nil"/>
            </w:tcBorders>
            <w:shd w:val="clear" w:color="auto" w:fill="D6E6F4"/>
          </w:tcPr>
          <w:p w14:paraId="07F1A822" w14:textId="77777777" w:rsidR="00164ECF" w:rsidRDefault="00164ECF" w:rsidP="00EE073F">
            <w:pPr>
              <w:pStyle w:val="TableParagraph"/>
              <w:ind w:left="78"/>
              <w:jc w:val="center"/>
              <w:rPr>
                <w:b/>
              </w:rPr>
            </w:pPr>
            <w:r>
              <w:rPr>
                <w:b/>
              </w:rPr>
              <w:t>(Why</w:t>
            </w:r>
            <w:r>
              <w:rPr>
                <w:b/>
                <w:spacing w:val="-2"/>
              </w:rPr>
              <w:t xml:space="preserve"> </w:t>
            </w:r>
            <w:r>
              <w:rPr>
                <w:b/>
              </w:rPr>
              <w:t>we</w:t>
            </w:r>
            <w:r>
              <w:rPr>
                <w:b/>
                <w:spacing w:val="-1"/>
              </w:rPr>
              <w:t xml:space="preserve"> </w:t>
            </w:r>
            <w:r>
              <w:rPr>
                <w:b/>
                <w:spacing w:val="-2"/>
              </w:rPr>
              <w:t>exist.)</w:t>
            </w:r>
          </w:p>
        </w:tc>
      </w:tr>
      <w:tr w:rsidR="00164ECF" w14:paraId="7BCE48F9" w14:textId="77777777" w:rsidTr="00EE073F">
        <w:trPr>
          <w:trHeight w:val="1074"/>
        </w:trPr>
        <w:tc>
          <w:tcPr>
            <w:tcW w:w="4045" w:type="dxa"/>
            <w:tcBorders>
              <w:right w:val="nil"/>
            </w:tcBorders>
          </w:tcPr>
          <w:p w14:paraId="104B578E" w14:textId="77777777" w:rsidR="00164ECF" w:rsidRDefault="00164ECF" w:rsidP="00EE073F">
            <w:pPr>
              <w:pStyle w:val="TableParagraph"/>
              <w:ind w:left="0" w:right="94"/>
              <w:jc w:val="center"/>
            </w:pPr>
            <w:r>
              <w:t>The</w:t>
            </w:r>
            <w:r>
              <w:rPr>
                <w:spacing w:val="-5"/>
              </w:rPr>
              <w:t xml:space="preserve"> </w:t>
            </w:r>
            <w:r>
              <w:t>leaders</w:t>
            </w:r>
            <w:r>
              <w:rPr>
                <w:spacing w:val="-4"/>
              </w:rPr>
              <w:t xml:space="preserve"> </w:t>
            </w:r>
            <w:r>
              <w:t>in</w:t>
            </w:r>
            <w:r>
              <w:rPr>
                <w:spacing w:val="-5"/>
              </w:rPr>
              <w:t xml:space="preserve"> </w:t>
            </w:r>
            <w:r>
              <w:t>engineering</w:t>
            </w:r>
            <w:r>
              <w:rPr>
                <w:spacing w:val="-7"/>
              </w:rPr>
              <w:t xml:space="preserve"> </w:t>
            </w:r>
            <w:proofErr w:type="gramStart"/>
            <w:r>
              <w:t>a</w:t>
            </w:r>
            <w:r>
              <w:rPr>
                <w:spacing w:val="-4"/>
              </w:rPr>
              <w:t xml:space="preserve"> </w:t>
            </w:r>
            <w:r>
              <w:t>fire</w:t>
            </w:r>
            <w:proofErr w:type="gramEnd"/>
            <w:r>
              <w:t>-safe</w:t>
            </w:r>
            <w:r>
              <w:rPr>
                <w:spacing w:val="-5"/>
              </w:rPr>
              <w:t xml:space="preserve"> </w:t>
            </w:r>
            <w:r>
              <w:rPr>
                <w:spacing w:val="-2"/>
              </w:rPr>
              <w:t>world.</w:t>
            </w:r>
          </w:p>
        </w:tc>
        <w:tc>
          <w:tcPr>
            <w:tcW w:w="5300" w:type="dxa"/>
            <w:tcBorders>
              <w:left w:val="nil"/>
            </w:tcBorders>
          </w:tcPr>
          <w:p w14:paraId="356AA832" w14:textId="77777777" w:rsidR="00164ECF" w:rsidRDefault="00164ECF" w:rsidP="00EE073F">
            <w:pPr>
              <w:pStyle w:val="TableParagraph"/>
              <w:spacing w:line="240" w:lineRule="auto"/>
              <w:ind w:left="118" w:right="48"/>
            </w:pPr>
            <w:r>
              <w:t>To define, develop, &amp; advance the use of engineering best</w:t>
            </w:r>
            <w:r>
              <w:rPr>
                <w:spacing w:val="-4"/>
              </w:rPr>
              <w:t xml:space="preserve"> </w:t>
            </w:r>
            <w:r>
              <w:t>practices;</w:t>
            </w:r>
            <w:r>
              <w:rPr>
                <w:spacing w:val="-4"/>
              </w:rPr>
              <w:t xml:space="preserve"> </w:t>
            </w:r>
            <w:r>
              <w:t>expand</w:t>
            </w:r>
            <w:r>
              <w:rPr>
                <w:spacing w:val="-6"/>
              </w:rPr>
              <w:t xml:space="preserve"> </w:t>
            </w:r>
            <w:r>
              <w:t>the</w:t>
            </w:r>
            <w:r>
              <w:rPr>
                <w:spacing w:val="-7"/>
              </w:rPr>
              <w:t xml:space="preserve"> </w:t>
            </w:r>
            <w:r>
              <w:t>scientific</w:t>
            </w:r>
            <w:r>
              <w:rPr>
                <w:spacing w:val="-7"/>
              </w:rPr>
              <w:t xml:space="preserve"> </w:t>
            </w:r>
            <w:r>
              <w:t>knowledge</w:t>
            </w:r>
            <w:r>
              <w:rPr>
                <w:spacing w:val="-4"/>
              </w:rPr>
              <w:t xml:space="preserve"> </w:t>
            </w:r>
            <w:r>
              <w:t>base;</w:t>
            </w:r>
            <w:r>
              <w:rPr>
                <w:spacing w:val="-6"/>
              </w:rPr>
              <w:t xml:space="preserve"> </w:t>
            </w:r>
            <w:r>
              <w:t>&amp; educate</w:t>
            </w:r>
            <w:r>
              <w:rPr>
                <w:spacing w:val="-6"/>
              </w:rPr>
              <w:t xml:space="preserve"> </w:t>
            </w:r>
            <w:r>
              <w:t>the</w:t>
            </w:r>
            <w:r>
              <w:rPr>
                <w:spacing w:val="-3"/>
              </w:rPr>
              <w:t xml:space="preserve"> </w:t>
            </w:r>
            <w:r>
              <w:t>global</w:t>
            </w:r>
            <w:r>
              <w:rPr>
                <w:spacing w:val="-4"/>
              </w:rPr>
              <w:t xml:space="preserve"> </w:t>
            </w:r>
            <w:r>
              <w:t>fire</w:t>
            </w:r>
            <w:r>
              <w:rPr>
                <w:spacing w:val="-6"/>
              </w:rPr>
              <w:t xml:space="preserve"> </w:t>
            </w:r>
            <w:r>
              <w:t>safety</w:t>
            </w:r>
            <w:r>
              <w:rPr>
                <w:spacing w:val="-3"/>
              </w:rPr>
              <w:t xml:space="preserve"> </w:t>
            </w:r>
            <w:r>
              <w:t>community</w:t>
            </w:r>
            <w:r>
              <w:rPr>
                <w:spacing w:val="-3"/>
              </w:rPr>
              <w:t xml:space="preserve"> </w:t>
            </w:r>
            <w:r>
              <w:t>to</w:t>
            </w:r>
            <w:r>
              <w:rPr>
                <w:spacing w:val="-3"/>
              </w:rPr>
              <w:t xml:space="preserve"> </w:t>
            </w:r>
            <w:r>
              <w:t>reduce</w:t>
            </w:r>
            <w:r>
              <w:rPr>
                <w:spacing w:val="-3"/>
              </w:rPr>
              <w:t xml:space="preserve"> </w:t>
            </w:r>
            <w:r>
              <w:rPr>
                <w:spacing w:val="-4"/>
              </w:rPr>
              <w:t>fire</w:t>
            </w:r>
          </w:p>
          <w:p w14:paraId="57C35630" w14:textId="77777777" w:rsidR="00164ECF" w:rsidRDefault="00164ECF" w:rsidP="00EE073F">
            <w:pPr>
              <w:pStyle w:val="TableParagraph"/>
              <w:spacing w:line="249" w:lineRule="exact"/>
              <w:ind w:left="118"/>
            </w:pPr>
            <w:r>
              <w:rPr>
                <w:spacing w:val="-2"/>
              </w:rPr>
              <w:t>risk.</w:t>
            </w:r>
          </w:p>
        </w:tc>
      </w:tr>
    </w:tbl>
    <w:p w14:paraId="33D27AFC" w14:textId="77777777" w:rsidR="00164ECF" w:rsidRPr="005D6BD1" w:rsidRDefault="00164ECF" w:rsidP="005D6BD1">
      <w:pPr>
        <w:pStyle w:val="Heading1"/>
        <w:spacing w:before="269"/>
        <w:ind w:left="720" w:right="61" w:firstLine="720"/>
        <w:rPr>
          <w:rStyle w:val="BookTitle"/>
          <w:color w:val="171717" w:themeColor="background2" w:themeShade="1A"/>
        </w:rPr>
      </w:pPr>
      <w:r w:rsidRPr="005D6BD1">
        <w:rPr>
          <w:rStyle w:val="BookTitle"/>
          <w:color w:val="171717" w:themeColor="background2" w:themeShade="1A"/>
        </w:rPr>
        <w:t>BOARD OF DIRECTORS AGENDA – Day 1</w:t>
      </w:r>
    </w:p>
    <w:p w14:paraId="2CC4D935" w14:textId="77777777" w:rsidR="00164ECF" w:rsidRPr="00CB208A" w:rsidRDefault="00164ECF" w:rsidP="00164ECF">
      <w:pPr>
        <w:spacing w:before="1" w:line="341" w:lineRule="exact"/>
        <w:ind w:left="358" w:right="126"/>
        <w:jc w:val="center"/>
        <w:rPr>
          <w:b/>
          <w:sz w:val="24"/>
          <w:szCs w:val="20"/>
        </w:rPr>
      </w:pPr>
      <w:r>
        <w:rPr>
          <w:b/>
          <w:sz w:val="24"/>
          <w:szCs w:val="20"/>
        </w:rPr>
        <w:t>Level 3 Meeting</w:t>
      </w:r>
      <w:r w:rsidRPr="00CB208A">
        <w:rPr>
          <w:b/>
          <w:sz w:val="24"/>
          <w:szCs w:val="20"/>
        </w:rPr>
        <w:t xml:space="preserve"> Room</w:t>
      </w:r>
      <w:r>
        <w:rPr>
          <w:b/>
          <w:sz w:val="24"/>
          <w:szCs w:val="20"/>
        </w:rPr>
        <w:t xml:space="preserve"> 5</w:t>
      </w:r>
    </w:p>
    <w:p w14:paraId="16CDA0EC" w14:textId="77777777" w:rsidR="00164ECF" w:rsidRPr="00CB208A" w:rsidRDefault="00164ECF" w:rsidP="00164ECF">
      <w:pPr>
        <w:spacing w:before="1" w:line="341" w:lineRule="exact"/>
        <w:ind w:left="358" w:right="126"/>
        <w:jc w:val="center"/>
        <w:rPr>
          <w:b/>
          <w:sz w:val="24"/>
          <w:szCs w:val="20"/>
        </w:rPr>
      </w:pPr>
      <w:r w:rsidRPr="00CB208A">
        <w:rPr>
          <w:b/>
          <w:sz w:val="24"/>
          <w:szCs w:val="20"/>
        </w:rPr>
        <w:t>April 13, 2026</w:t>
      </w:r>
    </w:p>
    <w:p w14:paraId="69A328F7" w14:textId="77777777" w:rsidR="00164ECF" w:rsidRDefault="00164ECF" w:rsidP="00164ECF">
      <w:pPr>
        <w:pStyle w:val="BodyText"/>
        <w:ind w:left="360"/>
        <w:jc w:val="center"/>
        <w:rPr>
          <w:b/>
          <w:bCs/>
          <w:i/>
          <w:iCs/>
          <w:sz w:val="24"/>
          <w:szCs w:val="24"/>
        </w:rPr>
      </w:pPr>
      <w:r w:rsidRPr="00CB208A">
        <w:rPr>
          <w:b/>
          <w:bCs/>
          <w:i/>
          <w:iCs/>
          <w:sz w:val="24"/>
          <w:szCs w:val="24"/>
        </w:rPr>
        <w:t xml:space="preserve">The Westin Singapore (12 Marina View, Asia Square Tower 2, </w:t>
      </w:r>
      <w:proofErr w:type="gramStart"/>
      <w:r w:rsidRPr="00CB208A">
        <w:rPr>
          <w:b/>
          <w:bCs/>
          <w:i/>
          <w:iCs/>
          <w:sz w:val="24"/>
          <w:szCs w:val="24"/>
        </w:rPr>
        <w:t>Singapore  018961</w:t>
      </w:r>
      <w:proofErr w:type="gramEnd"/>
      <w:r w:rsidRPr="00CB208A">
        <w:rPr>
          <w:b/>
          <w:bCs/>
          <w:i/>
          <w:iCs/>
          <w:sz w:val="24"/>
          <w:szCs w:val="24"/>
        </w:rPr>
        <w:t>, Singapore)</w:t>
      </w:r>
    </w:p>
    <w:p w14:paraId="33678484" w14:textId="77777777" w:rsidR="00164ECF" w:rsidRDefault="00164ECF" w:rsidP="00164ECF">
      <w:pPr>
        <w:pStyle w:val="BodyText"/>
        <w:ind w:left="360"/>
        <w:jc w:val="center"/>
        <w:rPr>
          <w:b/>
          <w:bCs/>
          <w:i/>
          <w:iCs/>
          <w:sz w:val="24"/>
          <w:szCs w:val="24"/>
        </w:rPr>
      </w:pPr>
      <w:r>
        <w:rPr>
          <w:b/>
          <w:bCs/>
          <w:i/>
          <w:iCs/>
          <w:sz w:val="24"/>
          <w:szCs w:val="24"/>
        </w:rPr>
        <w:t>Breakout room:</w:t>
      </w:r>
      <w:r w:rsidRPr="004A2BF1">
        <w:t xml:space="preserve"> </w:t>
      </w:r>
      <w:r w:rsidRPr="004A2BF1">
        <w:rPr>
          <w:b/>
          <w:bCs/>
          <w:i/>
          <w:iCs/>
          <w:sz w:val="24"/>
          <w:szCs w:val="24"/>
        </w:rPr>
        <w:t>Meeting Room 3</w:t>
      </w:r>
    </w:p>
    <w:p w14:paraId="25538E4D" w14:textId="77777777" w:rsidR="00164ECF" w:rsidRPr="00CB208A" w:rsidRDefault="00164ECF" w:rsidP="00164ECF">
      <w:pPr>
        <w:pStyle w:val="BodyText"/>
        <w:ind w:left="360"/>
        <w:jc w:val="center"/>
        <w:rPr>
          <w:b/>
          <w:bCs/>
          <w:i/>
          <w:iCs/>
          <w:sz w:val="24"/>
          <w:szCs w:val="24"/>
        </w:rPr>
      </w:pPr>
      <w:r w:rsidRPr="004A2BF1">
        <w:rPr>
          <w:b/>
          <w:bCs/>
          <w:i/>
          <w:iCs/>
          <w:sz w:val="24"/>
          <w:szCs w:val="24"/>
        </w:rPr>
        <w:t xml:space="preserve">The meeting </w:t>
      </w:r>
      <w:proofErr w:type="spellStart"/>
      <w:r w:rsidRPr="004A2BF1">
        <w:rPr>
          <w:b/>
          <w:bCs/>
          <w:i/>
          <w:iCs/>
          <w:sz w:val="24"/>
          <w:szCs w:val="24"/>
        </w:rPr>
        <w:t>wifi</w:t>
      </w:r>
      <w:proofErr w:type="spellEnd"/>
      <w:r w:rsidRPr="004A2BF1">
        <w:rPr>
          <w:b/>
          <w:bCs/>
          <w:i/>
          <w:iCs/>
          <w:sz w:val="24"/>
          <w:szCs w:val="24"/>
        </w:rPr>
        <w:t xml:space="preserve"> is generic and open and doesn’t require a password</w:t>
      </w:r>
    </w:p>
    <w:p w14:paraId="1186EB5B" w14:textId="77777777" w:rsidR="00164ECF" w:rsidRDefault="00164ECF" w:rsidP="00164ECF">
      <w:pPr>
        <w:pStyle w:val="BodyText"/>
        <w:ind w:left="360"/>
        <w:jc w:val="center"/>
        <w:rPr>
          <w:b/>
          <w:bCs/>
          <w:i/>
          <w:iCs/>
          <w:sz w:val="28"/>
          <w:szCs w:val="28"/>
        </w:rPr>
      </w:pPr>
    </w:p>
    <w:p w14:paraId="7FFFAB31" w14:textId="7DE8EE9A" w:rsidR="00164ECF" w:rsidRDefault="00164ECF" w:rsidP="00164ECF">
      <w:pPr>
        <w:pStyle w:val="BodyText"/>
        <w:ind w:left="360"/>
      </w:pPr>
      <w:r>
        <w:rPr>
          <w:b/>
          <w:u w:val="single"/>
        </w:rPr>
        <w:t>Attending:</w:t>
      </w:r>
      <w:r>
        <w:rPr>
          <w:b/>
        </w:rPr>
        <w:t xml:space="preserve"> </w:t>
      </w:r>
      <w:r>
        <w:t>Shamim Rashid-Sumar (President), Shaun Kelly (President Elect) Jimmy Jönsson (Secretary/Treasurer), Amanda Kimball (Immediate Past-President), Chris Jelenewicz (CEO), Virginia Charter,</w:t>
      </w:r>
      <w:r>
        <w:rPr>
          <w:spacing w:val="-7"/>
        </w:rPr>
        <w:t xml:space="preserve"> </w:t>
      </w:r>
      <w:r>
        <w:t>John</w:t>
      </w:r>
      <w:r>
        <w:rPr>
          <w:spacing w:val="-7"/>
        </w:rPr>
        <w:t xml:space="preserve"> </w:t>
      </w:r>
      <w:r>
        <w:t>Frank,</w:t>
      </w:r>
      <w:r>
        <w:rPr>
          <w:spacing w:val="-7"/>
        </w:rPr>
        <w:t xml:space="preserve"> </w:t>
      </w:r>
      <w:r>
        <w:t>Mark</w:t>
      </w:r>
      <w:r>
        <w:rPr>
          <w:spacing w:val="-5"/>
        </w:rPr>
        <w:t xml:space="preserve"> </w:t>
      </w:r>
      <w:r>
        <w:t>Hopkins,</w:t>
      </w:r>
      <w:r>
        <w:rPr>
          <w:spacing w:val="-7"/>
        </w:rPr>
        <w:t xml:space="preserve"> </w:t>
      </w:r>
      <w:r>
        <w:t>Elizabeth</w:t>
      </w:r>
      <w:r>
        <w:rPr>
          <w:spacing w:val="-7"/>
        </w:rPr>
        <w:t xml:space="preserve"> </w:t>
      </w:r>
      <w:r>
        <w:t>Pennacchio,</w:t>
      </w:r>
      <w:r>
        <w:rPr>
          <w:spacing w:val="-7"/>
        </w:rPr>
        <w:t xml:space="preserve"> </w:t>
      </w:r>
      <w:r>
        <w:t>Jeﬀ Tubbs, Craig Vesely,</w:t>
      </w:r>
      <w:r>
        <w:rPr>
          <w:spacing w:val="-7"/>
        </w:rPr>
        <w:t xml:space="preserve"> Karl Wallasch, </w:t>
      </w:r>
      <w:r>
        <w:t>Michael Wojcik</w:t>
      </w:r>
    </w:p>
    <w:p w14:paraId="2ED6112B" w14:textId="77777777" w:rsidR="00D12246" w:rsidRDefault="00D12246" w:rsidP="00164ECF">
      <w:pPr>
        <w:pStyle w:val="BodyText"/>
        <w:ind w:left="360"/>
      </w:pPr>
    </w:p>
    <w:p w14:paraId="49BB8864" w14:textId="2CC3EA10" w:rsidR="00D12246" w:rsidRDefault="00D12246" w:rsidP="00164ECF">
      <w:pPr>
        <w:pStyle w:val="BodyText"/>
        <w:ind w:left="360"/>
      </w:pPr>
      <w:r w:rsidRPr="00D12246">
        <w:rPr>
          <w:b/>
          <w:bCs/>
          <w:u w:val="single"/>
        </w:rPr>
        <w:t>Online</w:t>
      </w:r>
      <w:r>
        <w:t xml:space="preserve">: John Denhardt </w:t>
      </w:r>
    </w:p>
    <w:p w14:paraId="0E576C4B" w14:textId="77777777" w:rsidR="00164ECF" w:rsidRDefault="00164ECF" w:rsidP="00164ECF">
      <w:pPr>
        <w:pStyle w:val="BodyText"/>
        <w:ind w:left="360"/>
        <w:rPr>
          <w:b/>
          <w:u w:val="single"/>
        </w:rPr>
      </w:pPr>
    </w:p>
    <w:p w14:paraId="4AE22587" w14:textId="490D8297" w:rsidR="00164ECF" w:rsidRDefault="00164ECF" w:rsidP="00164ECF">
      <w:pPr>
        <w:pStyle w:val="BodyText"/>
        <w:ind w:left="360"/>
      </w:pPr>
      <w:r>
        <w:rPr>
          <w:b/>
          <w:u w:val="single"/>
        </w:rPr>
        <w:t>Staff</w:t>
      </w:r>
      <w:r>
        <w:rPr>
          <w:b/>
          <w:spacing w:val="-7"/>
          <w:u w:val="single"/>
        </w:rPr>
        <w:t xml:space="preserve"> </w:t>
      </w:r>
      <w:r>
        <w:rPr>
          <w:b/>
          <w:u w:val="single"/>
        </w:rPr>
        <w:t>Guests:</w:t>
      </w:r>
      <w:r>
        <w:rPr>
          <w:b/>
          <w:spacing w:val="-6"/>
        </w:rPr>
        <w:t xml:space="preserve"> </w:t>
      </w:r>
      <w:r>
        <w:t>Ben</w:t>
      </w:r>
      <w:r>
        <w:rPr>
          <w:spacing w:val="-5"/>
        </w:rPr>
        <w:t xml:space="preserve"> </w:t>
      </w:r>
      <w:r>
        <w:t>Fogel,</w:t>
      </w:r>
      <w:r>
        <w:rPr>
          <w:spacing w:val="-6"/>
        </w:rPr>
        <w:t xml:space="preserve"> </w:t>
      </w:r>
      <w:r>
        <w:t>Bryan</w:t>
      </w:r>
      <w:r>
        <w:rPr>
          <w:spacing w:val="-5"/>
        </w:rPr>
        <w:t xml:space="preserve"> </w:t>
      </w:r>
      <w:r>
        <w:t>Bennett,</w:t>
      </w:r>
      <w:r>
        <w:rPr>
          <w:spacing w:val="-5"/>
        </w:rPr>
        <w:t xml:space="preserve"> Austin Guerrazzi, </w:t>
      </w:r>
      <w:r>
        <w:t>Hana</w:t>
      </w:r>
      <w:r>
        <w:rPr>
          <w:spacing w:val="-4"/>
        </w:rPr>
        <w:t xml:space="preserve"> </w:t>
      </w:r>
      <w:r>
        <w:t>Herron,</w:t>
      </w:r>
      <w:r>
        <w:rPr>
          <w:spacing w:val="-6"/>
        </w:rPr>
        <w:t xml:space="preserve"> </w:t>
      </w:r>
      <w:r>
        <w:t>Kristin</w:t>
      </w:r>
      <w:r>
        <w:rPr>
          <w:spacing w:val="-5"/>
        </w:rPr>
        <w:t xml:space="preserve"> </w:t>
      </w:r>
      <w:r>
        <w:t>Hughes,</w:t>
      </w:r>
      <w:r>
        <w:rPr>
          <w:spacing w:val="-4"/>
        </w:rPr>
        <w:t xml:space="preserve"> Eva </w:t>
      </w:r>
      <w:r w:rsidRPr="00BD6CB0">
        <w:rPr>
          <w:spacing w:val="-4"/>
        </w:rPr>
        <w:t>Przygodzki</w:t>
      </w:r>
      <w:r>
        <w:rPr>
          <w:spacing w:val="-4"/>
        </w:rPr>
        <w:t>,</w:t>
      </w:r>
      <w:r w:rsidRPr="00BD6CB0">
        <w:rPr>
          <w:spacing w:val="-4"/>
        </w:rPr>
        <w:t xml:space="preserve"> </w:t>
      </w:r>
      <w:r>
        <w:rPr>
          <w:spacing w:val="-4"/>
        </w:rPr>
        <w:t>Joshua Reichert</w:t>
      </w:r>
    </w:p>
    <w:p w14:paraId="60C6934B" w14:textId="77777777" w:rsidR="00164ECF" w:rsidRDefault="00164ECF" w:rsidP="00164ECF">
      <w:pPr>
        <w:spacing w:before="238" w:after="2"/>
        <w:ind w:left="360"/>
        <w:rPr>
          <w:b/>
          <w:sz w:val="28"/>
        </w:rPr>
      </w:pPr>
      <w:r>
        <w:rPr>
          <w:b/>
          <w:sz w:val="28"/>
        </w:rPr>
        <w:t>Monday April 13, 2026</w:t>
      </w:r>
    </w:p>
    <w:p w14:paraId="1CA84DCB" w14:textId="77777777" w:rsidR="00164ECF" w:rsidRPr="00164ECF" w:rsidRDefault="00164ECF" w:rsidP="00164ECF">
      <w:pPr>
        <w:numPr>
          <w:ilvl w:val="0"/>
          <w:numId w:val="1"/>
        </w:numPr>
      </w:pPr>
      <w:r w:rsidRPr="00164ECF">
        <w:rPr>
          <w:b/>
          <w:bCs/>
        </w:rPr>
        <w:t>Approval of the consent Agenda:</w:t>
      </w:r>
      <w:r w:rsidRPr="00164ECF">
        <w:t xml:space="preserve"> </w:t>
      </w:r>
    </w:p>
    <w:p w14:paraId="21A4DC84" w14:textId="25F5638E" w:rsidR="00D12246" w:rsidRDefault="00164ECF" w:rsidP="00164ECF">
      <w:r w:rsidRPr="00164ECF">
        <w:t xml:space="preserve">Rashid-Sumar opened the meeting </w:t>
      </w:r>
      <w:r w:rsidR="00D12246">
        <w:t>at 9:04</w:t>
      </w:r>
      <w:r w:rsidR="00F00A0B">
        <w:t>am</w:t>
      </w:r>
      <w:r w:rsidR="00D12246">
        <w:t xml:space="preserve"> </w:t>
      </w:r>
      <w:r w:rsidRPr="00164ECF">
        <w:t>by welcoming the new and returning board members. Bennett was requested to take attendance.</w:t>
      </w:r>
      <w:r w:rsidR="00D12246">
        <w:t xml:space="preserve"> </w:t>
      </w:r>
      <w:proofErr w:type="gramStart"/>
      <w:r w:rsidR="00D12246">
        <w:t>A thanks</w:t>
      </w:r>
      <w:proofErr w:type="gramEnd"/>
      <w:r w:rsidR="00D12246">
        <w:t xml:space="preserve"> </w:t>
      </w:r>
      <w:proofErr w:type="gramStart"/>
      <w:r w:rsidR="00D12246">
        <w:t>was</w:t>
      </w:r>
      <w:proofErr w:type="gramEnd"/>
      <w:r w:rsidR="00D12246">
        <w:t xml:space="preserve"> given to those </w:t>
      </w:r>
      <w:r w:rsidR="006E7852">
        <w:t xml:space="preserve">who joined </w:t>
      </w:r>
      <w:r w:rsidR="00D12246">
        <w:t>online.</w:t>
      </w:r>
      <w:r w:rsidRPr="00164ECF">
        <w:t xml:space="preserve"> </w:t>
      </w:r>
    </w:p>
    <w:p w14:paraId="1033542B" w14:textId="0F820246" w:rsidR="00D12246" w:rsidRDefault="009F7ED4" w:rsidP="00164ECF">
      <w:r w:rsidRPr="009F7ED4">
        <w:rPr>
          <w:highlight w:val="yellow"/>
        </w:rPr>
        <w:t>A motion was made to subtract item c from the consent agenda. Proceeds</w:t>
      </w:r>
      <w:r w:rsidR="00D12246" w:rsidRPr="009F7ED4">
        <w:rPr>
          <w:highlight w:val="yellow"/>
        </w:rPr>
        <w:t xml:space="preserve"> are meant to go to the </w:t>
      </w:r>
      <w:r>
        <w:rPr>
          <w:highlight w:val="yellow"/>
        </w:rPr>
        <w:t>F</w:t>
      </w:r>
      <w:r w:rsidR="00D12246" w:rsidRPr="009F7ED4">
        <w:rPr>
          <w:highlight w:val="yellow"/>
        </w:rPr>
        <w:t xml:space="preserve">oundation and not </w:t>
      </w:r>
      <w:r>
        <w:rPr>
          <w:highlight w:val="yellow"/>
        </w:rPr>
        <w:t>SFPE</w:t>
      </w:r>
      <w:r w:rsidR="00D12246" w:rsidRPr="009F7ED4">
        <w:rPr>
          <w:highlight w:val="yellow"/>
        </w:rPr>
        <w:t>.</w:t>
      </w:r>
      <w:r w:rsidR="00D12246">
        <w:t xml:space="preserve"> </w:t>
      </w:r>
    </w:p>
    <w:p w14:paraId="7FBD29AD" w14:textId="32B774D9" w:rsidR="00164ECF" w:rsidRPr="009F7ED4" w:rsidRDefault="00D12246" w:rsidP="00164ECF">
      <w:pPr>
        <w:rPr>
          <w:color w:val="EE0000"/>
        </w:rPr>
      </w:pPr>
      <w:r w:rsidRPr="009F7ED4">
        <w:rPr>
          <w:color w:val="EE0000"/>
        </w:rPr>
        <w:t xml:space="preserve">Action item: </w:t>
      </w:r>
      <w:r w:rsidR="009F7ED4">
        <w:rPr>
          <w:color w:val="EE0000"/>
        </w:rPr>
        <w:t>R</w:t>
      </w:r>
      <w:r w:rsidRPr="009F7ED4">
        <w:rPr>
          <w:color w:val="EE0000"/>
        </w:rPr>
        <w:t>emove</w:t>
      </w:r>
      <w:r w:rsidR="009F7ED4">
        <w:rPr>
          <w:color w:val="EE0000"/>
        </w:rPr>
        <w:t xml:space="preserve"> Item C</w:t>
      </w:r>
      <w:r w:rsidRPr="009F7ED4">
        <w:rPr>
          <w:color w:val="EE0000"/>
        </w:rPr>
        <w:t xml:space="preserve"> </w:t>
      </w:r>
    </w:p>
    <w:p w14:paraId="16F4D640" w14:textId="15C3FA2A" w:rsidR="00164ECF" w:rsidRDefault="00164ECF" w:rsidP="00164ECF">
      <w:r w:rsidRPr="009F7ED4">
        <w:rPr>
          <w:highlight w:val="yellow"/>
        </w:rPr>
        <w:t>A motion was made to approve the consent agenda</w:t>
      </w:r>
      <w:r w:rsidR="006E7852">
        <w:rPr>
          <w:highlight w:val="yellow"/>
        </w:rPr>
        <w:t xml:space="preserve"> with the adjustment</w:t>
      </w:r>
      <w:r w:rsidRPr="009F7ED4">
        <w:rPr>
          <w:highlight w:val="yellow"/>
        </w:rPr>
        <w:t>. The motion passed unanimously.</w:t>
      </w:r>
    </w:p>
    <w:p w14:paraId="101389EF" w14:textId="77777777" w:rsidR="00D12246" w:rsidRPr="00164ECF" w:rsidRDefault="00D12246" w:rsidP="00164ECF"/>
    <w:p w14:paraId="49CC073A" w14:textId="77777777" w:rsidR="00164ECF" w:rsidRPr="00164ECF" w:rsidRDefault="00164ECF" w:rsidP="00164ECF">
      <w:pPr>
        <w:numPr>
          <w:ilvl w:val="0"/>
          <w:numId w:val="1"/>
        </w:numPr>
      </w:pPr>
      <w:r w:rsidRPr="00164ECF">
        <w:rPr>
          <w:b/>
          <w:bCs/>
        </w:rPr>
        <w:t>Presidents Report:</w:t>
      </w:r>
      <w:r w:rsidRPr="00164ECF">
        <w:t xml:space="preserve"> </w:t>
      </w:r>
    </w:p>
    <w:p w14:paraId="13250CF6" w14:textId="3C7EBA15" w:rsidR="00DB659C" w:rsidRDefault="00164ECF" w:rsidP="00164ECF">
      <w:r w:rsidRPr="00164ECF">
        <w:t xml:space="preserve">Rashid-Sumar opened by </w:t>
      </w:r>
      <w:r>
        <w:t xml:space="preserve">welcoming the board to SFPE’s annual PBD meeting, approving the consent agenda and presenting the Presidents report. </w:t>
      </w:r>
      <w:r w:rsidRPr="00164ECF">
        <w:t>Rashid Suma</w:t>
      </w:r>
      <w:r>
        <w:t>r</w:t>
      </w:r>
      <w:r w:rsidRPr="00164ECF">
        <w:t xml:space="preserve"> included updates on advocacy, partnerships, </w:t>
      </w:r>
      <w:r w:rsidRPr="00164ECF">
        <w:lastRenderedPageBreak/>
        <w:t xml:space="preserve">and regional engagement efforts. The Executive Committee met in March and agreed for SFPE to sign onto a joint letter co-authored by International Code Council and National Fire Protection Association regarding federal pre-emption of certain state and local requirements </w:t>
      </w:r>
      <w:proofErr w:type="gramStart"/>
      <w:r w:rsidRPr="00164ECF">
        <w:t>impacting</w:t>
      </w:r>
      <w:proofErr w:type="gramEnd"/>
      <w:r w:rsidRPr="00164ECF">
        <w:t xml:space="preserve"> the repair, rehabilitation, or replacement of disaster-damaged property, with expectations for SFPE to review similar future issues affecting codes and standards. Efforts to expand partnerships with allied organizations are ongoing, with staff evaluating opportunities that provide mutual benefits in sponsorship and educational initiatives. Regional updates highlighted engagement in the Middle East, including participation in the Women’s Forum of Emergency Response &amp; Fire Leadership Global Summit in Jubail, Saudi Arabia, where discussions took place with SFPE members on reactivating the Saudi Arabia Chapter and strengthening collaboration in the region</w:t>
      </w:r>
      <w:r>
        <w:t>. M</w:t>
      </w:r>
      <w:r w:rsidRPr="00164ECF">
        <w:t>eetings were also held with representatives from Jensen Hughes (Al Khobar office) and Saudi Aramco to explore future involvement as a networking partner in the World Firefighters Games 2026, as well as with contacts in the UAE regarding participation as an organizational partner in the “Adaptive Cities: Integrated Fire Safety for Modern Communities” conference series planned across Dubai, Abu Dhabi, Riyadh, and Jeddah. A Middle East roundtable discussion is scheduled for April 14 in Singapore, with acknowledgment that ongoing geopolitical conditions may impact the pace of regional coordination</w:t>
      </w:r>
      <w:r w:rsidR="002F431C">
        <w:t xml:space="preserve">. </w:t>
      </w:r>
      <w:r w:rsidR="00C50166">
        <w:t xml:space="preserve"> </w:t>
      </w:r>
      <w:r w:rsidR="002F431C">
        <w:t xml:space="preserve"> </w:t>
      </w:r>
    </w:p>
    <w:p w14:paraId="1C32129F" w14:textId="77777777" w:rsidR="00164ECF" w:rsidRDefault="00164ECF" w:rsidP="00164ECF"/>
    <w:p w14:paraId="6DF62C33" w14:textId="285AC1E1" w:rsidR="00164ECF" w:rsidRPr="000C30B0" w:rsidRDefault="00164ECF" w:rsidP="00164ECF">
      <w:pPr>
        <w:pStyle w:val="ListParagraph"/>
        <w:numPr>
          <w:ilvl w:val="0"/>
          <w:numId w:val="1"/>
        </w:numPr>
      </w:pPr>
      <w:r w:rsidRPr="001721FF">
        <w:t>CEO report</w:t>
      </w:r>
      <w:r w:rsidRPr="005B3A4C">
        <w:rPr>
          <w:w w:val="105"/>
        </w:rPr>
        <w:t xml:space="preserve"> – </w:t>
      </w:r>
      <w:r w:rsidRPr="005B3A4C">
        <w:rPr>
          <w:b/>
          <w:bCs/>
          <w:w w:val="105"/>
        </w:rPr>
        <w:t>Jelenewicz</w:t>
      </w:r>
    </w:p>
    <w:p w14:paraId="5D05FDC0" w14:textId="5B522048" w:rsidR="000C30B0" w:rsidRDefault="000C30B0" w:rsidP="000C30B0">
      <w:r>
        <w:t>Jelenewicz informed the board that d</w:t>
      </w:r>
      <w:r w:rsidRPr="000C30B0">
        <w:t>ue to airport closures in the Middle East, a virtual attendance option was made available for individuals unable to attend the Performance-Based Design Conference, with additional details to be provided during Hana’s presentation. The employee manual was updated in collaboration with an HR consultant to reflect state-specific requirements and to include a new section on paternity leave. All staff completed required state-specific harassment training. Participation in the Atlanta Chapter Conference provided an opportunity to promote the SFPE Annual Conference and distribute save-the-date materials to vendors. Additionally, after more than a decade of service, the role of Associate Editor for the Fire Technology Journal was concluded, with Joshua assuming the position.</w:t>
      </w:r>
    </w:p>
    <w:p w14:paraId="2D1B9C85" w14:textId="77777777" w:rsidR="000C30B0" w:rsidRPr="00164ECF" w:rsidRDefault="000C30B0" w:rsidP="000C30B0"/>
    <w:p w14:paraId="35AAA8BA" w14:textId="6F17C66D" w:rsidR="00164ECF" w:rsidRPr="000C30B0" w:rsidRDefault="00164ECF" w:rsidP="00164ECF">
      <w:pPr>
        <w:pStyle w:val="ListParagraph"/>
        <w:numPr>
          <w:ilvl w:val="0"/>
          <w:numId w:val="1"/>
        </w:numPr>
      </w:pPr>
      <w:r>
        <w:rPr>
          <w:spacing w:val="-2"/>
          <w:w w:val="105"/>
        </w:rPr>
        <w:t>Finance</w:t>
      </w:r>
      <w:r>
        <w:rPr>
          <w:spacing w:val="-4"/>
          <w:w w:val="105"/>
        </w:rPr>
        <w:t xml:space="preserve"> </w:t>
      </w:r>
      <w:r>
        <w:rPr>
          <w:spacing w:val="-2"/>
          <w:w w:val="105"/>
        </w:rPr>
        <w:t>and Audit</w:t>
      </w:r>
      <w:r>
        <w:rPr>
          <w:spacing w:val="-3"/>
          <w:w w:val="105"/>
        </w:rPr>
        <w:t xml:space="preserve"> </w:t>
      </w:r>
      <w:r>
        <w:rPr>
          <w:spacing w:val="-2"/>
          <w:w w:val="105"/>
        </w:rPr>
        <w:t>committee</w:t>
      </w:r>
      <w:r>
        <w:rPr>
          <w:spacing w:val="-4"/>
          <w:w w:val="105"/>
        </w:rPr>
        <w:t xml:space="preserve"> </w:t>
      </w:r>
      <w:r>
        <w:rPr>
          <w:spacing w:val="-2"/>
          <w:w w:val="105"/>
        </w:rPr>
        <w:t xml:space="preserve">report </w:t>
      </w:r>
      <w:r w:rsidRPr="00782FB7">
        <w:rPr>
          <w:spacing w:val="-2"/>
          <w:w w:val="105"/>
        </w:rPr>
        <w:t>–</w:t>
      </w:r>
      <w:r>
        <w:rPr>
          <w:spacing w:val="-6"/>
          <w:w w:val="105"/>
        </w:rPr>
        <w:t xml:space="preserve"> </w:t>
      </w:r>
      <w:r>
        <w:rPr>
          <w:b/>
          <w:spacing w:val="-2"/>
          <w:w w:val="105"/>
        </w:rPr>
        <w:t>Jönsson,</w:t>
      </w:r>
      <w:r>
        <w:rPr>
          <w:b/>
          <w:spacing w:val="4"/>
          <w:w w:val="105"/>
        </w:rPr>
        <w:t xml:space="preserve"> </w:t>
      </w:r>
      <w:r>
        <w:rPr>
          <w:b/>
          <w:spacing w:val="-2"/>
          <w:w w:val="105"/>
        </w:rPr>
        <w:t>Hughes</w:t>
      </w:r>
    </w:p>
    <w:p w14:paraId="67DB95D9" w14:textId="655C268F" w:rsidR="000C30B0" w:rsidRDefault="000C30B0" w:rsidP="000C30B0">
      <w:r w:rsidRPr="000C30B0">
        <w:t>Jönsson and Hughes provided updates on financial performance, conference outlook, and audit activities. Budget monitoring for February indicates overall alignment with projected figures, with noted variances including lower-than-expected revenue from Corp 100 and higher-than-anticipated personnel costs due to unplanned staffing expenses, both of which are expected to have a negative impact. Financial projections for the Performance-Based Design Conference indicate reduced gains due to cancellations related to the Iran crisis and additional investments in streaming and recording services, though the event is currently expected to break even with potential for improvement. Planning for the Annual Conference included a workshop to finalize fee structures and pricing levels, with the expectation that adjustments will increase financial returns and help offset rising costs. The audit process has commenced with no significant issues reported at this stage. No major updates were noted for Mediqus, and investment performance continues to follow normal trends.</w:t>
      </w:r>
      <w:r w:rsidR="006E7852">
        <w:t xml:space="preserve"> </w:t>
      </w:r>
      <w:r w:rsidR="006E7852" w:rsidRPr="006E7852">
        <w:t xml:space="preserve">Wojcik presented findings on product engagement, emphasizing its role in advancing the organization’s mission and supporting long-term sustainability. </w:t>
      </w:r>
      <w:r w:rsidR="00F00A0B">
        <w:t>K</w:t>
      </w:r>
      <w:r w:rsidR="006E7852" w:rsidRPr="006E7852">
        <w:t>ey insights, emerging opportunities, and strategies to strengthen engagement, including approaches to enhance value delivery, improve alignment with member needs, and drive continued growth and impact</w:t>
      </w:r>
      <w:r w:rsidR="00F00A0B">
        <w:t xml:space="preserve"> were discussed</w:t>
      </w:r>
      <w:r w:rsidR="006E7852" w:rsidRPr="006E7852">
        <w:t>.</w:t>
      </w:r>
    </w:p>
    <w:p w14:paraId="6E57E07E" w14:textId="77777777" w:rsidR="002746FB" w:rsidRDefault="002746FB" w:rsidP="000C30B0"/>
    <w:p w14:paraId="51CE851F" w14:textId="77777777" w:rsidR="002746FB" w:rsidRDefault="002746FB" w:rsidP="000C30B0"/>
    <w:p w14:paraId="79CDCDE5" w14:textId="77777777" w:rsidR="002746FB" w:rsidRDefault="002746FB" w:rsidP="000C30B0"/>
    <w:p w14:paraId="07809399" w14:textId="77777777" w:rsidR="002746FB" w:rsidRDefault="002746FB" w:rsidP="000C30B0"/>
    <w:p w14:paraId="37033298" w14:textId="77777777" w:rsidR="007F670E" w:rsidRPr="00164ECF" w:rsidRDefault="007F670E" w:rsidP="000C30B0"/>
    <w:p w14:paraId="1E874E6E" w14:textId="77777777" w:rsidR="00164ECF" w:rsidRPr="007F670E" w:rsidRDefault="00164ECF" w:rsidP="00164ECF">
      <w:pPr>
        <w:pStyle w:val="TableParagraph"/>
        <w:numPr>
          <w:ilvl w:val="0"/>
          <w:numId w:val="1"/>
        </w:numPr>
        <w:tabs>
          <w:tab w:val="left" w:pos="725"/>
        </w:tabs>
        <w:rPr>
          <w:b/>
          <w:bCs/>
        </w:rPr>
      </w:pPr>
      <w:r>
        <w:rPr>
          <w:w w:val="105"/>
        </w:rPr>
        <w:lastRenderedPageBreak/>
        <w:t>Chapter</w:t>
      </w:r>
      <w:r>
        <w:rPr>
          <w:spacing w:val="-11"/>
          <w:w w:val="105"/>
        </w:rPr>
        <w:t xml:space="preserve"> </w:t>
      </w:r>
      <w:r>
        <w:rPr>
          <w:w w:val="105"/>
        </w:rPr>
        <w:t>work</w:t>
      </w:r>
      <w:r>
        <w:rPr>
          <w:spacing w:val="-13"/>
          <w:w w:val="105"/>
        </w:rPr>
        <w:t xml:space="preserve"> </w:t>
      </w:r>
      <w:r>
        <w:rPr>
          <w:w w:val="105"/>
        </w:rPr>
        <w:t>group</w:t>
      </w:r>
      <w:r>
        <w:rPr>
          <w:spacing w:val="-11"/>
          <w:w w:val="105"/>
        </w:rPr>
        <w:t xml:space="preserve"> </w:t>
      </w:r>
      <w:r>
        <w:rPr>
          <w:spacing w:val="-2"/>
          <w:w w:val="105"/>
        </w:rPr>
        <w:t xml:space="preserve">update </w:t>
      </w:r>
      <w:r w:rsidRPr="00782FB7">
        <w:rPr>
          <w:spacing w:val="-2"/>
          <w:w w:val="105"/>
        </w:rPr>
        <w:t>–</w:t>
      </w:r>
      <w:r>
        <w:rPr>
          <w:spacing w:val="-2"/>
          <w:w w:val="105"/>
        </w:rPr>
        <w:t xml:space="preserve"> </w:t>
      </w:r>
      <w:r w:rsidRPr="00782FB7">
        <w:rPr>
          <w:b/>
          <w:bCs/>
          <w:spacing w:val="-2"/>
          <w:w w:val="105"/>
        </w:rPr>
        <w:t xml:space="preserve">Denhardt, </w:t>
      </w:r>
      <w:r>
        <w:rPr>
          <w:b/>
          <w:bCs/>
          <w:spacing w:val="-2"/>
          <w:w w:val="105"/>
        </w:rPr>
        <w:t xml:space="preserve">Hopkins, </w:t>
      </w:r>
      <w:r w:rsidRPr="001721FF">
        <w:rPr>
          <w:b/>
          <w:bCs/>
          <w:spacing w:val="-4"/>
        </w:rPr>
        <w:t>Przygodzki</w:t>
      </w:r>
    </w:p>
    <w:p w14:paraId="1256DDDA" w14:textId="536CDC1B" w:rsidR="007F670E" w:rsidRDefault="007F670E" w:rsidP="007F670E">
      <w:pPr>
        <w:pStyle w:val="TableParagraph"/>
        <w:tabs>
          <w:tab w:val="left" w:pos="725"/>
        </w:tabs>
      </w:pPr>
      <w:r>
        <w:rPr>
          <w:rStyle w:val="whitespace-normal"/>
        </w:rPr>
        <w:t>Denhardt</w:t>
      </w:r>
      <w:r>
        <w:t xml:space="preserve">, </w:t>
      </w:r>
      <w:r>
        <w:rPr>
          <w:rStyle w:val="whitespace-normal"/>
        </w:rPr>
        <w:t>Hopkins</w:t>
      </w:r>
      <w:r>
        <w:t xml:space="preserve">, and </w:t>
      </w:r>
      <w:r>
        <w:rPr>
          <w:rStyle w:val="whitespace-normal"/>
        </w:rPr>
        <w:t>Przygodzki</w:t>
      </w:r>
      <w:r>
        <w:t xml:space="preserve"> stated that ongoing efforts continue to focus on outreach to inactive and noncompliant chapters in coordination with </w:t>
      </w:r>
      <w:r>
        <w:rPr>
          <w:rStyle w:val="whitespace-normal"/>
        </w:rPr>
        <w:t>Eva G.</w:t>
      </w:r>
      <w:r>
        <w:t>, with detailed status tracking maintained separately. An update on the ACE 2025 process will include the number and completeness of submissions, feedback on submission forms, and the status of the Awards Committee review. Feedback from chapter leadership indicates a preference for reducing presentation time during the Annual Conference Chapter Leadership Forum in favor of increased interaction and engagement to foster collaboration, and the working group will take an active role in coordinating and overseeing the forum for the 2026 Annual Conference, with a proposed outline to be presented to the Board of Directors at the Q3 meeting.</w:t>
      </w:r>
    </w:p>
    <w:p w14:paraId="7473A740" w14:textId="77777777" w:rsidR="007F670E" w:rsidRPr="001721FF" w:rsidRDefault="007F670E" w:rsidP="007F670E">
      <w:pPr>
        <w:pStyle w:val="TableParagraph"/>
        <w:tabs>
          <w:tab w:val="left" w:pos="725"/>
        </w:tabs>
        <w:rPr>
          <w:b/>
          <w:bCs/>
        </w:rPr>
      </w:pPr>
    </w:p>
    <w:p w14:paraId="1C02DFD8" w14:textId="77777777" w:rsidR="00164ECF" w:rsidRPr="007F670E" w:rsidRDefault="00164ECF" w:rsidP="00164ECF">
      <w:pPr>
        <w:pStyle w:val="TableParagraph"/>
        <w:numPr>
          <w:ilvl w:val="0"/>
          <w:numId w:val="1"/>
        </w:numPr>
        <w:tabs>
          <w:tab w:val="left" w:pos="725"/>
        </w:tabs>
        <w:rPr>
          <w:b/>
        </w:rPr>
      </w:pPr>
      <w:r w:rsidRPr="00782FB7">
        <w:rPr>
          <w:spacing w:val="-2"/>
          <w:w w:val="105"/>
        </w:rPr>
        <w:t>Governance</w:t>
      </w:r>
      <w:r w:rsidRPr="00782FB7">
        <w:rPr>
          <w:spacing w:val="-10"/>
          <w:w w:val="105"/>
        </w:rPr>
        <w:t xml:space="preserve"> </w:t>
      </w:r>
      <w:r w:rsidRPr="00782FB7">
        <w:rPr>
          <w:spacing w:val="-2"/>
          <w:w w:val="105"/>
        </w:rPr>
        <w:t>committee</w:t>
      </w:r>
      <w:r w:rsidRPr="00782FB7">
        <w:rPr>
          <w:spacing w:val="-7"/>
          <w:w w:val="105"/>
        </w:rPr>
        <w:t xml:space="preserve"> </w:t>
      </w:r>
      <w:r w:rsidRPr="00782FB7">
        <w:rPr>
          <w:spacing w:val="-2"/>
          <w:w w:val="105"/>
        </w:rPr>
        <w:t>report</w:t>
      </w:r>
      <w:r w:rsidRPr="00782FB7">
        <w:rPr>
          <w:spacing w:val="-11"/>
          <w:w w:val="105"/>
        </w:rPr>
        <w:t xml:space="preserve"> </w:t>
      </w:r>
      <w:r w:rsidRPr="00782FB7">
        <w:rPr>
          <w:spacing w:val="-2"/>
          <w:w w:val="105"/>
        </w:rPr>
        <w:t>–</w:t>
      </w:r>
      <w:r w:rsidRPr="00782FB7">
        <w:rPr>
          <w:spacing w:val="-1"/>
          <w:w w:val="105"/>
        </w:rPr>
        <w:t xml:space="preserve"> </w:t>
      </w:r>
      <w:r w:rsidRPr="00782FB7">
        <w:rPr>
          <w:b/>
          <w:spacing w:val="-2"/>
          <w:w w:val="105"/>
        </w:rPr>
        <w:t xml:space="preserve">Kimball </w:t>
      </w:r>
    </w:p>
    <w:p w14:paraId="749298B9" w14:textId="5891D201" w:rsidR="009F7ED4" w:rsidRPr="009F7ED4" w:rsidRDefault="009F7ED4" w:rsidP="007B091A">
      <w:pPr>
        <w:pStyle w:val="TableParagraph"/>
        <w:tabs>
          <w:tab w:val="left" w:pos="725"/>
        </w:tabs>
        <w:rPr>
          <w:bCs/>
        </w:rPr>
      </w:pPr>
      <w:r w:rsidRPr="009F7ED4">
        <w:rPr>
          <w:bCs/>
        </w:rPr>
        <w:t>Kimball introduced a proposed bylaw revision intended to align with the 2025 updates to the Standing Rules concerning the Nominating Committee. The revisions clarify the committee’s composition, appointment process, responsibilities, and member qualifications, while also reaffirming the structure and authority of the Executive Committee and the Board’s ability to establish additional committees as needed.</w:t>
      </w:r>
      <w:r>
        <w:rPr>
          <w:bCs/>
        </w:rPr>
        <w:t xml:space="preserve"> </w:t>
      </w:r>
      <w:r w:rsidRPr="009F7ED4">
        <w:rPr>
          <w:bCs/>
        </w:rPr>
        <w:t xml:space="preserve">The Board discussed the definition of chapter noncompliance, noting inconsistencies between the Standing Rules and chapter charter documents across incorporated, affiliate, and networking chapters. Key areas of inconsistency </w:t>
      </w:r>
      <w:proofErr w:type="gramStart"/>
      <w:r w:rsidRPr="009F7ED4">
        <w:rPr>
          <w:bCs/>
        </w:rPr>
        <w:t>included</w:t>
      </w:r>
      <w:proofErr w:type="gramEnd"/>
      <w:r w:rsidRPr="009F7ED4">
        <w:rPr>
          <w:bCs/>
        </w:rPr>
        <w:t xml:space="preserve"> membership requirements, leadership composition, and annual reporting obligations. The discussion also highlighted the need to determine how charter updates should be applied to existing versus newly established chapters. A proposal was introduced to establish clear chapter status definitions, including designating chapters as inactive after three years of noncompliance and dormant after five years. Additional governance gaps were identified, including outdated or unclear references (e.g., the Chapter Presidents Council), member satisfaction survey requirements, inconsistent terminology related to annual chapter reports, and the need to review and align the Chapter Survival Manual with other governing materials.</w:t>
      </w:r>
      <w:r>
        <w:rPr>
          <w:bCs/>
        </w:rPr>
        <w:t xml:space="preserve"> </w:t>
      </w:r>
      <w:r w:rsidRPr="009F7ED4">
        <w:rPr>
          <w:bCs/>
        </w:rPr>
        <w:t xml:space="preserve">An update was provided on the Career Pipeline Initiative, including a status report and </w:t>
      </w:r>
      <w:proofErr w:type="gramStart"/>
      <w:r w:rsidRPr="009F7ED4">
        <w:rPr>
          <w:bCs/>
        </w:rPr>
        <w:t>revised messaging</w:t>
      </w:r>
      <w:proofErr w:type="gramEnd"/>
      <w:r w:rsidRPr="009F7ED4">
        <w:rPr>
          <w:bCs/>
        </w:rPr>
        <w:t xml:space="preserve"> from the previous year. The current focus is on expanding outreach and awareness through student chapters, leveraging active chapters to share messaging with others, and hosting virtual forums. Broader student outreach efforts are also underway, along with collaboration with the Membership Committee to leverage the organization’s position among peer organizations.</w:t>
      </w:r>
    </w:p>
    <w:p w14:paraId="36F9F8AE" w14:textId="77777777" w:rsidR="009F7ED4" w:rsidRPr="009F7ED4" w:rsidRDefault="009F7ED4" w:rsidP="009F7ED4">
      <w:pPr>
        <w:pStyle w:val="TableParagraph"/>
        <w:tabs>
          <w:tab w:val="left" w:pos="725"/>
        </w:tabs>
        <w:rPr>
          <w:bCs/>
        </w:rPr>
      </w:pPr>
    </w:p>
    <w:p w14:paraId="52F18D4D" w14:textId="6ACF1DA5" w:rsidR="009F7ED4" w:rsidRPr="006E7852" w:rsidRDefault="007B091A" w:rsidP="009F7ED4">
      <w:pPr>
        <w:pStyle w:val="TableParagraph"/>
        <w:tabs>
          <w:tab w:val="left" w:pos="725"/>
        </w:tabs>
        <w:rPr>
          <w:bCs/>
          <w:color w:val="EE0000"/>
        </w:rPr>
      </w:pPr>
      <w:r w:rsidRPr="006E7852">
        <w:rPr>
          <w:bCs/>
          <w:color w:val="EE0000"/>
        </w:rPr>
        <w:t xml:space="preserve">Action: </w:t>
      </w:r>
      <w:r w:rsidR="009F7ED4" w:rsidRPr="006E7852">
        <w:rPr>
          <w:bCs/>
          <w:color w:val="EE0000"/>
        </w:rPr>
        <w:t>Amanda will update the proposed bylaw language to reflect th</w:t>
      </w:r>
      <w:r w:rsidRPr="006E7852">
        <w:rPr>
          <w:bCs/>
          <w:color w:val="EE0000"/>
        </w:rPr>
        <w:t>e</w:t>
      </w:r>
      <w:r w:rsidR="009F7ED4" w:rsidRPr="006E7852">
        <w:rPr>
          <w:bCs/>
          <w:color w:val="EE0000"/>
        </w:rPr>
        <w:t xml:space="preserve"> timelines for election-related processes</w:t>
      </w:r>
      <w:r w:rsidR="00F00A0B">
        <w:rPr>
          <w:bCs/>
          <w:color w:val="EE0000"/>
        </w:rPr>
        <w:t>.</w:t>
      </w:r>
    </w:p>
    <w:p w14:paraId="17C692ED" w14:textId="2DE3B831" w:rsidR="009F7ED4" w:rsidRPr="006E7852" w:rsidRDefault="007B091A" w:rsidP="009F7ED4">
      <w:pPr>
        <w:pStyle w:val="TableParagraph"/>
        <w:tabs>
          <w:tab w:val="left" w:pos="725"/>
        </w:tabs>
        <w:rPr>
          <w:bCs/>
          <w:color w:val="EE0000"/>
        </w:rPr>
      </w:pPr>
      <w:r w:rsidRPr="006E7852">
        <w:rPr>
          <w:bCs/>
          <w:color w:val="EE0000"/>
        </w:rPr>
        <w:t xml:space="preserve">The Governance committee will </w:t>
      </w:r>
      <w:r w:rsidR="009F7ED4" w:rsidRPr="006E7852">
        <w:rPr>
          <w:bCs/>
          <w:color w:val="EE0000"/>
        </w:rPr>
        <w:t xml:space="preserve">change the </w:t>
      </w:r>
      <w:r w:rsidR="00F00A0B">
        <w:rPr>
          <w:bCs/>
          <w:color w:val="EE0000"/>
        </w:rPr>
        <w:t xml:space="preserve">verbiage </w:t>
      </w:r>
      <w:r w:rsidR="009F7ED4" w:rsidRPr="006E7852">
        <w:rPr>
          <w:bCs/>
          <w:color w:val="EE0000"/>
        </w:rPr>
        <w:t xml:space="preserve">below to indicate that it is a </w:t>
      </w:r>
      <w:proofErr w:type="gramStart"/>
      <w:r w:rsidR="009F7ED4" w:rsidRPr="006E7852">
        <w:rPr>
          <w:bCs/>
          <w:color w:val="EE0000"/>
        </w:rPr>
        <w:t>two -</w:t>
      </w:r>
      <w:proofErr w:type="gramEnd"/>
      <w:r w:rsidR="009F7ED4" w:rsidRPr="006E7852">
        <w:rPr>
          <w:bCs/>
          <w:color w:val="EE0000"/>
        </w:rPr>
        <w:t>year term.</w:t>
      </w:r>
    </w:p>
    <w:p w14:paraId="37FF3A4E" w14:textId="0407007B" w:rsidR="009F7ED4" w:rsidRDefault="009F7ED4" w:rsidP="002746FB">
      <w:pPr>
        <w:pStyle w:val="TableParagraph"/>
        <w:numPr>
          <w:ilvl w:val="0"/>
          <w:numId w:val="6"/>
        </w:numPr>
        <w:tabs>
          <w:tab w:val="left" w:pos="725"/>
        </w:tabs>
        <w:rPr>
          <w:bCs/>
          <w:color w:val="EE0000"/>
        </w:rPr>
      </w:pPr>
      <w:r w:rsidRPr="006E7852">
        <w:rPr>
          <w:bCs/>
          <w:color w:val="EE0000"/>
        </w:rPr>
        <w:t>Terms of Service – The two candidates who receive the most votes will be appointed to a two-year term that begins on January 1, 2026. The candidate who receives the third most votes will be appointed to a one-year term that begins on January 1, 2026.</w:t>
      </w:r>
    </w:p>
    <w:p w14:paraId="3D4465ED" w14:textId="77777777" w:rsidR="002746FB" w:rsidRPr="006E7852" w:rsidRDefault="002746FB" w:rsidP="002746FB">
      <w:pPr>
        <w:pStyle w:val="TableParagraph"/>
        <w:tabs>
          <w:tab w:val="left" w:pos="725"/>
        </w:tabs>
        <w:ind w:left="726"/>
        <w:rPr>
          <w:bCs/>
          <w:color w:val="EE0000"/>
        </w:rPr>
      </w:pPr>
    </w:p>
    <w:p w14:paraId="3A1325E6" w14:textId="77777777" w:rsidR="00A37860" w:rsidRPr="00164ECF" w:rsidRDefault="00A37860" w:rsidP="007B091A"/>
    <w:p w14:paraId="63EDD1DD" w14:textId="2ECC1DCD" w:rsidR="00164ECF" w:rsidRDefault="00164ECF" w:rsidP="0052174D">
      <w:pPr>
        <w:pStyle w:val="TableParagraph"/>
        <w:numPr>
          <w:ilvl w:val="0"/>
          <w:numId w:val="1"/>
        </w:numPr>
        <w:spacing w:before="1" w:line="240" w:lineRule="auto"/>
        <w:rPr>
          <w:b/>
          <w:spacing w:val="-2"/>
          <w:w w:val="105"/>
        </w:rPr>
      </w:pPr>
      <w:r w:rsidRPr="001721FF">
        <w:t xml:space="preserve">Strategic Planning </w:t>
      </w:r>
      <w:r>
        <w:t>Workshop</w:t>
      </w:r>
      <w:r w:rsidRPr="001721FF">
        <w:rPr>
          <w:spacing w:val="-3"/>
          <w:w w:val="105"/>
        </w:rPr>
        <w:t xml:space="preserve"> </w:t>
      </w:r>
      <w:r w:rsidRPr="001721FF">
        <w:rPr>
          <w:w w:val="105"/>
        </w:rPr>
        <w:t>–</w:t>
      </w:r>
      <w:r w:rsidRPr="001721FF">
        <w:rPr>
          <w:spacing w:val="4"/>
          <w:w w:val="105"/>
        </w:rPr>
        <w:t xml:space="preserve"> </w:t>
      </w:r>
      <w:r w:rsidRPr="001721FF">
        <w:rPr>
          <w:b/>
          <w:spacing w:val="-2"/>
          <w:w w:val="105"/>
        </w:rPr>
        <w:t>Kelly</w:t>
      </w:r>
    </w:p>
    <w:p w14:paraId="760687FB" w14:textId="77777777" w:rsidR="002746FB" w:rsidRDefault="00DC7C1A" w:rsidP="00DC7C1A">
      <w:pPr>
        <w:pStyle w:val="TableParagraph"/>
        <w:spacing w:before="1" w:line="240" w:lineRule="auto"/>
        <w:ind w:left="720"/>
        <w:rPr>
          <w:bCs/>
          <w:spacing w:val="-2"/>
          <w:w w:val="105"/>
        </w:rPr>
      </w:pPr>
      <w:r w:rsidRPr="00DC7C1A">
        <w:rPr>
          <w:bCs/>
          <w:spacing w:val="-2"/>
          <w:w w:val="105"/>
        </w:rPr>
        <w:t xml:space="preserve">The </w:t>
      </w:r>
      <w:r w:rsidR="007B091A">
        <w:rPr>
          <w:bCs/>
          <w:spacing w:val="-2"/>
          <w:w w:val="105"/>
        </w:rPr>
        <w:t xml:space="preserve">Board was divided into </w:t>
      </w:r>
      <w:r w:rsidRPr="00DC7C1A">
        <w:rPr>
          <w:bCs/>
          <w:spacing w:val="-2"/>
          <w:w w:val="105"/>
        </w:rPr>
        <w:t>groups to complete Kelly’s strategic planning work</w:t>
      </w:r>
      <w:r>
        <w:rPr>
          <w:bCs/>
          <w:spacing w:val="-2"/>
          <w:w w:val="105"/>
        </w:rPr>
        <w:t>shop for future suc</w:t>
      </w:r>
      <w:r w:rsidR="0052174D">
        <w:rPr>
          <w:bCs/>
          <w:spacing w:val="-2"/>
          <w:w w:val="105"/>
        </w:rPr>
        <w:t>c</w:t>
      </w:r>
      <w:r>
        <w:rPr>
          <w:bCs/>
          <w:spacing w:val="-2"/>
          <w:w w:val="105"/>
        </w:rPr>
        <w:t>ess. Upon completion the group met and discussed their findings.</w:t>
      </w:r>
    </w:p>
    <w:p w14:paraId="566F0D39" w14:textId="785BD4FB" w:rsidR="00DC7C1A" w:rsidRDefault="00DC7C1A" w:rsidP="00DC7C1A">
      <w:pPr>
        <w:pStyle w:val="TableParagraph"/>
        <w:spacing w:before="1" w:line="240" w:lineRule="auto"/>
        <w:ind w:left="720"/>
        <w:rPr>
          <w:bCs/>
          <w:spacing w:val="-2"/>
          <w:w w:val="105"/>
        </w:rPr>
      </w:pPr>
      <w:r>
        <w:rPr>
          <w:bCs/>
          <w:spacing w:val="-2"/>
          <w:w w:val="105"/>
        </w:rPr>
        <w:t xml:space="preserve"> </w:t>
      </w:r>
    </w:p>
    <w:p w14:paraId="04339972" w14:textId="77777777" w:rsidR="002746FB" w:rsidRDefault="002746FB" w:rsidP="00DC7C1A">
      <w:pPr>
        <w:pStyle w:val="TableParagraph"/>
        <w:spacing w:before="1" w:line="240" w:lineRule="auto"/>
        <w:ind w:left="720"/>
        <w:rPr>
          <w:bCs/>
          <w:spacing w:val="-2"/>
          <w:w w:val="105"/>
        </w:rPr>
      </w:pPr>
    </w:p>
    <w:p w14:paraId="694B0FC7" w14:textId="7F00122C" w:rsidR="002746FB" w:rsidRPr="0055752A" w:rsidRDefault="002746FB" w:rsidP="002746FB">
      <w:pPr>
        <w:pStyle w:val="ListParagraph"/>
        <w:numPr>
          <w:ilvl w:val="0"/>
          <w:numId w:val="1"/>
        </w:numPr>
      </w:pPr>
      <w:r>
        <w:t xml:space="preserve">SFPE Canada update – </w:t>
      </w:r>
      <w:r w:rsidRPr="002746FB">
        <w:rPr>
          <w:b/>
          <w:bCs/>
        </w:rPr>
        <w:t>Kelly</w:t>
      </w:r>
    </w:p>
    <w:p w14:paraId="7FA935FB" w14:textId="77777777" w:rsidR="002746FB" w:rsidRDefault="002746FB" w:rsidP="002746FB">
      <w:r>
        <w:t xml:space="preserve">Kelly provided an update on recent initiatives in Canada, noting that the team has made significant progress in its strategic planning efforts, supported by several in-depth meetings. He also highlighted </w:t>
      </w:r>
      <w:r>
        <w:lastRenderedPageBreak/>
        <w:t xml:space="preserve">ongoing collaboration with Leslie on GCI initiatives in Ottawa. Based on recent discussions, there is growing interest in hosting a symposium in Canada, with </w:t>
      </w:r>
      <w:proofErr w:type="gramStart"/>
      <w:r>
        <w:t>particular enthusiasm</w:t>
      </w:r>
      <w:proofErr w:type="gramEnd"/>
      <w:r>
        <w:t xml:space="preserve"> for a storage-focused event. It was noted that such a symposium could serve as a potential revenue-generating opportunity, provided it remains an SFPE-branded event. Further discussions on this topic are expected to take place during the current event. Kelly also shared that multiple universities are now collaborating on joint projects, expressing optimism that these partnerships will lead to meaningful outcomes </w:t>
      </w:r>
      <w:proofErr w:type="gramStart"/>
      <w:r>
        <w:t>in the near future</w:t>
      </w:r>
      <w:proofErr w:type="gramEnd"/>
      <w:r>
        <w:t>.</w:t>
      </w:r>
    </w:p>
    <w:p w14:paraId="2BDD712A" w14:textId="77777777" w:rsidR="002746FB" w:rsidRDefault="002746FB" w:rsidP="00DC7C1A">
      <w:pPr>
        <w:pStyle w:val="TableParagraph"/>
        <w:spacing w:before="1" w:line="240" w:lineRule="auto"/>
        <w:ind w:left="720"/>
        <w:rPr>
          <w:bCs/>
          <w:spacing w:val="-2"/>
          <w:w w:val="105"/>
        </w:rPr>
      </w:pPr>
    </w:p>
    <w:p w14:paraId="592F8E92" w14:textId="77777777" w:rsidR="00DC7C1A" w:rsidRPr="00DC7C1A" w:rsidRDefault="00DC7C1A" w:rsidP="00DC7C1A">
      <w:pPr>
        <w:pStyle w:val="TableParagraph"/>
        <w:spacing w:before="1" w:line="240" w:lineRule="auto"/>
        <w:ind w:left="720"/>
        <w:rPr>
          <w:bCs/>
          <w:spacing w:val="-2"/>
          <w:w w:val="105"/>
        </w:rPr>
      </w:pPr>
    </w:p>
    <w:p w14:paraId="3E2D1E3D" w14:textId="2CCFD7CD" w:rsidR="00164ECF" w:rsidRPr="0052174D" w:rsidRDefault="00164ECF" w:rsidP="00164ECF">
      <w:pPr>
        <w:pStyle w:val="ListParagraph"/>
        <w:numPr>
          <w:ilvl w:val="0"/>
          <w:numId w:val="1"/>
        </w:numPr>
      </w:pPr>
      <w:r>
        <w:rPr>
          <w:w w:val="105"/>
        </w:rPr>
        <w:t>Executive</w:t>
      </w:r>
      <w:r>
        <w:rPr>
          <w:spacing w:val="-12"/>
          <w:w w:val="105"/>
        </w:rPr>
        <w:t xml:space="preserve"> </w:t>
      </w:r>
      <w:r>
        <w:rPr>
          <w:spacing w:val="-2"/>
          <w:w w:val="105"/>
        </w:rPr>
        <w:t>Session</w:t>
      </w:r>
    </w:p>
    <w:p w14:paraId="7E3654D0" w14:textId="77777777" w:rsidR="0052174D" w:rsidRPr="00164ECF" w:rsidRDefault="0052174D" w:rsidP="0052174D">
      <w:pPr>
        <w:pStyle w:val="ListParagraph"/>
      </w:pPr>
    </w:p>
    <w:p w14:paraId="71617F77" w14:textId="5E67CCA2" w:rsidR="00164ECF" w:rsidRPr="00164ECF" w:rsidRDefault="00164ECF" w:rsidP="00164ECF">
      <w:pPr>
        <w:pStyle w:val="ListParagraph"/>
        <w:numPr>
          <w:ilvl w:val="0"/>
          <w:numId w:val="1"/>
        </w:numPr>
      </w:pPr>
      <w:r>
        <w:rPr>
          <w:w w:val="105"/>
        </w:rPr>
        <w:t>Adjourn</w:t>
      </w:r>
      <w:r w:rsidR="00EF66C5">
        <w:rPr>
          <w:w w:val="105"/>
        </w:rPr>
        <w:t>ed at 3:29</w:t>
      </w:r>
      <w:r w:rsidR="00F00A0B">
        <w:rPr>
          <w:w w:val="105"/>
        </w:rPr>
        <w:t>pm</w:t>
      </w:r>
    </w:p>
    <w:p w14:paraId="644E1057" w14:textId="77777777" w:rsidR="00164ECF" w:rsidRDefault="00164ECF" w:rsidP="00164ECF">
      <w:pPr>
        <w:pStyle w:val="ListParagraph"/>
        <w:rPr>
          <w:w w:val="105"/>
        </w:rPr>
      </w:pPr>
    </w:p>
    <w:p w14:paraId="20B6328B" w14:textId="77777777" w:rsidR="00164ECF" w:rsidRDefault="00164ECF" w:rsidP="00164ECF">
      <w:pPr>
        <w:pStyle w:val="ListParagraph"/>
        <w:rPr>
          <w:w w:val="105"/>
        </w:rPr>
      </w:pPr>
    </w:p>
    <w:p w14:paraId="6A4E7AD6" w14:textId="77777777" w:rsidR="002746FB" w:rsidRDefault="002746FB" w:rsidP="00164ECF">
      <w:pPr>
        <w:pStyle w:val="ListParagraph"/>
        <w:rPr>
          <w:w w:val="105"/>
        </w:rPr>
      </w:pPr>
    </w:p>
    <w:p w14:paraId="171F7F9A" w14:textId="77777777" w:rsidR="002746FB" w:rsidRDefault="002746FB" w:rsidP="00164ECF">
      <w:pPr>
        <w:pStyle w:val="ListParagraph"/>
        <w:rPr>
          <w:w w:val="105"/>
        </w:rPr>
      </w:pPr>
    </w:p>
    <w:p w14:paraId="6EDF3184" w14:textId="77777777" w:rsidR="002746FB" w:rsidRDefault="002746FB" w:rsidP="00164ECF">
      <w:pPr>
        <w:pStyle w:val="ListParagraph"/>
        <w:rPr>
          <w:w w:val="105"/>
        </w:rPr>
      </w:pPr>
    </w:p>
    <w:p w14:paraId="37D0C8CC" w14:textId="77777777" w:rsidR="002746FB" w:rsidRDefault="002746FB" w:rsidP="00164ECF">
      <w:pPr>
        <w:pStyle w:val="ListParagraph"/>
        <w:rPr>
          <w:w w:val="105"/>
        </w:rPr>
      </w:pPr>
    </w:p>
    <w:p w14:paraId="1A76C290" w14:textId="77777777" w:rsidR="002746FB" w:rsidRDefault="002746FB" w:rsidP="00164ECF">
      <w:pPr>
        <w:pStyle w:val="ListParagraph"/>
        <w:rPr>
          <w:w w:val="105"/>
        </w:rPr>
      </w:pPr>
    </w:p>
    <w:p w14:paraId="437567F4" w14:textId="77777777" w:rsidR="002746FB" w:rsidRDefault="002746FB" w:rsidP="00164ECF">
      <w:pPr>
        <w:pStyle w:val="ListParagraph"/>
        <w:rPr>
          <w:w w:val="105"/>
        </w:rPr>
      </w:pPr>
    </w:p>
    <w:p w14:paraId="5115A9B0" w14:textId="77777777" w:rsidR="002746FB" w:rsidRDefault="002746FB" w:rsidP="00164ECF">
      <w:pPr>
        <w:pStyle w:val="ListParagraph"/>
        <w:rPr>
          <w:w w:val="105"/>
        </w:rPr>
      </w:pPr>
    </w:p>
    <w:p w14:paraId="0B8CD41D" w14:textId="77777777" w:rsidR="002746FB" w:rsidRDefault="002746FB" w:rsidP="00164ECF">
      <w:pPr>
        <w:pStyle w:val="ListParagraph"/>
        <w:rPr>
          <w:w w:val="105"/>
        </w:rPr>
      </w:pPr>
    </w:p>
    <w:p w14:paraId="2D28BFC1" w14:textId="77777777" w:rsidR="002746FB" w:rsidRDefault="002746FB" w:rsidP="00164ECF">
      <w:pPr>
        <w:pStyle w:val="ListParagraph"/>
        <w:rPr>
          <w:w w:val="105"/>
        </w:rPr>
      </w:pPr>
    </w:p>
    <w:p w14:paraId="384C426D" w14:textId="77777777" w:rsidR="002746FB" w:rsidRDefault="002746FB" w:rsidP="00164ECF">
      <w:pPr>
        <w:pStyle w:val="ListParagraph"/>
        <w:rPr>
          <w:w w:val="105"/>
        </w:rPr>
      </w:pPr>
    </w:p>
    <w:p w14:paraId="050CC4BD" w14:textId="77777777" w:rsidR="002746FB" w:rsidRDefault="002746FB" w:rsidP="00164ECF">
      <w:pPr>
        <w:pStyle w:val="ListParagraph"/>
        <w:rPr>
          <w:w w:val="105"/>
        </w:rPr>
      </w:pPr>
    </w:p>
    <w:p w14:paraId="2FC80031" w14:textId="77777777" w:rsidR="002746FB" w:rsidRDefault="002746FB" w:rsidP="00164ECF">
      <w:pPr>
        <w:pStyle w:val="ListParagraph"/>
        <w:rPr>
          <w:w w:val="105"/>
        </w:rPr>
      </w:pPr>
    </w:p>
    <w:p w14:paraId="17F809BC" w14:textId="77777777" w:rsidR="002746FB" w:rsidRDefault="002746FB" w:rsidP="00164ECF">
      <w:pPr>
        <w:pStyle w:val="ListParagraph"/>
        <w:rPr>
          <w:w w:val="105"/>
        </w:rPr>
      </w:pPr>
    </w:p>
    <w:p w14:paraId="31EBECD1" w14:textId="77777777" w:rsidR="002746FB" w:rsidRDefault="002746FB" w:rsidP="00164ECF">
      <w:pPr>
        <w:pStyle w:val="ListParagraph"/>
        <w:rPr>
          <w:w w:val="105"/>
        </w:rPr>
      </w:pPr>
    </w:p>
    <w:p w14:paraId="7C243AF7" w14:textId="77777777" w:rsidR="002746FB" w:rsidRDefault="002746FB" w:rsidP="00164ECF">
      <w:pPr>
        <w:pStyle w:val="ListParagraph"/>
        <w:rPr>
          <w:w w:val="105"/>
        </w:rPr>
      </w:pPr>
    </w:p>
    <w:p w14:paraId="676D13D8" w14:textId="77777777" w:rsidR="002746FB" w:rsidRDefault="002746FB" w:rsidP="00164ECF">
      <w:pPr>
        <w:pStyle w:val="ListParagraph"/>
        <w:rPr>
          <w:w w:val="105"/>
        </w:rPr>
      </w:pPr>
    </w:p>
    <w:p w14:paraId="1F3249CE" w14:textId="77777777" w:rsidR="002746FB" w:rsidRDefault="002746FB" w:rsidP="00164ECF">
      <w:pPr>
        <w:pStyle w:val="ListParagraph"/>
        <w:rPr>
          <w:w w:val="105"/>
        </w:rPr>
      </w:pPr>
    </w:p>
    <w:p w14:paraId="09FE66F3" w14:textId="77777777" w:rsidR="002746FB" w:rsidRDefault="002746FB" w:rsidP="00164ECF">
      <w:pPr>
        <w:pStyle w:val="ListParagraph"/>
        <w:rPr>
          <w:w w:val="105"/>
        </w:rPr>
      </w:pPr>
    </w:p>
    <w:p w14:paraId="0AE276B6" w14:textId="77777777" w:rsidR="002746FB" w:rsidRDefault="002746FB" w:rsidP="00164ECF">
      <w:pPr>
        <w:pStyle w:val="ListParagraph"/>
        <w:rPr>
          <w:w w:val="105"/>
        </w:rPr>
      </w:pPr>
    </w:p>
    <w:p w14:paraId="2E3577C6" w14:textId="77777777" w:rsidR="002746FB" w:rsidRDefault="002746FB" w:rsidP="00164ECF">
      <w:pPr>
        <w:pStyle w:val="ListParagraph"/>
        <w:rPr>
          <w:w w:val="105"/>
        </w:rPr>
      </w:pPr>
    </w:p>
    <w:p w14:paraId="4EA6CB7C" w14:textId="77777777" w:rsidR="002746FB" w:rsidRDefault="002746FB" w:rsidP="00164ECF">
      <w:pPr>
        <w:pStyle w:val="ListParagraph"/>
        <w:rPr>
          <w:w w:val="105"/>
        </w:rPr>
      </w:pPr>
    </w:p>
    <w:p w14:paraId="7BFB5587" w14:textId="77777777" w:rsidR="002746FB" w:rsidRDefault="002746FB" w:rsidP="00164ECF">
      <w:pPr>
        <w:pStyle w:val="ListParagraph"/>
        <w:rPr>
          <w:w w:val="105"/>
        </w:rPr>
      </w:pPr>
    </w:p>
    <w:p w14:paraId="34638142" w14:textId="77777777" w:rsidR="002746FB" w:rsidRDefault="002746FB" w:rsidP="00164ECF">
      <w:pPr>
        <w:pStyle w:val="ListParagraph"/>
        <w:rPr>
          <w:w w:val="105"/>
        </w:rPr>
      </w:pPr>
    </w:p>
    <w:p w14:paraId="27C92D65" w14:textId="77777777" w:rsidR="002746FB" w:rsidRDefault="002746FB" w:rsidP="00164ECF">
      <w:pPr>
        <w:pStyle w:val="ListParagraph"/>
        <w:rPr>
          <w:w w:val="105"/>
        </w:rPr>
      </w:pPr>
    </w:p>
    <w:p w14:paraId="7076E45F" w14:textId="77777777" w:rsidR="002746FB" w:rsidRDefault="002746FB" w:rsidP="00164ECF">
      <w:pPr>
        <w:pStyle w:val="ListParagraph"/>
        <w:rPr>
          <w:w w:val="105"/>
        </w:rPr>
      </w:pPr>
    </w:p>
    <w:p w14:paraId="2BE4ADC9" w14:textId="77777777" w:rsidR="002746FB" w:rsidRDefault="002746FB" w:rsidP="00164ECF">
      <w:pPr>
        <w:pStyle w:val="ListParagraph"/>
        <w:rPr>
          <w:w w:val="105"/>
        </w:rPr>
      </w:pPr>
    </w:p>
    <w:p w14:paraId="344F7F97" w14:textId="77777777" w:rsidR="002746FB" w:rsidRDefault="002746FB" w:rsidP="00164ECF">
      <w:pPr>
        <w:pStyle w:val="ListParagraph"/>
        <w:rPr>
          <w:w w:val="105"/>
        </w:rPr>
      </w:pPr>
    </w:p>
    <w:p w14:paraId="3F93C47E" w14:textId="77777777" w:rsidR="002746FB" w:rsidRDefault="002746FB" w:rsidP="00164ECF">
      <w:pPr>
        <w:pStyle w:val="ListParagraph"/>
        <w:rPr>
          <w:w w:val="105"/>
        </w:rPr>
      </w:pPr>
    </w:p>
    <w:p w14:paraId="67FE4489" w14:textId="77777777" w:rsidR="002746FB" w:rsidRDefault="002746FB" w:rsidP="00164ECF">
      <w:pPr>
        <w:pStyle w:val="ListParagraph"/>
        <w:rPr>
          <w:w w:val="105"/>
        </w:rPr>
      </w:pPr>
    </w:p>
    <w:p w14:paraId="70FF8803" w14:textId="77777777" w:rsidR="00164ECF" w:rsidRDefault="00164ECF" w:rsidP="00164ECF">
      <w:pPr>
        <w:pStyle w:val="ListParagraph"/>
        <w:rPr>
          <w:w w:val="105"/>
        </w:rPr>
      </w:pPr>
    </w:p>
    <w:p w14:paraId="468C789E" w14:textId="77777777" w:rsidR="00164ECF" w:rsidRDefault="00164ECF" w:rsidP="00164ECF">
      <w:pPr>
        <w:pStyle w:val="ListParagraph"/>
        <w:rPr>
          <w:w w:val="105"/>
        </w:rPr>
      </w:pPr>
    </w:p>
    <w:p w14:paraId="01E2F462" w14:textId="77777777" w:rsidR="00164ECF" w:rsidRDefault="00164ECF" w:rsidP="00164ECF">
      <w:pPr>
        <w:pStyle w:val="ListParagraph"/>
        <w:rPr>
          <w:w w:val="105"/>
        </w:rPr>
      </w:pPr>
    </w:p>
    <w:p w14:paraId="1949C49B" w14:textId="77777777" w:rsidR="00164ECF" w:rsidRDefault="00164ECF" w:rsidP="00164ECF">
      <w:pPr>
        <w:pStyle w:val="ListParagraph"/>
        <w:rPr>
          <w:w w:val="105"/>
        </w:rPr>
      </w:pPr>
    </w:p>
    <w:p w14:paraId="5D8879B3" w14:textId="77777777" w:rsidR="00164ECF" w:rsidRDefault="00164ECF" w:rsidP="00164ECF">
      <w:pPr>
        <w:pStyle w:val="ListParagraph"/>
        <w:rPr>
          <w:w w:val="105"/>
        </w:rPr>
      </w:pPr>
    </w:p>
    <w:p w14:paraId="593BDE09" w14:textId="77777777" w:rsidR="00164ECF" w:rsidRDefault="00164ECF" w:rsidP="00164ECF">
      <w:pPr>
        <w:pStyle w:val="ListParagraph"/>
        <w:rPr>
          <w:w w:val="105"/>
        </w:rPr>
      </w:pPr>
    </w:p>
    <w:p w14:paraId="590A4854" w14:textId="77777777" w:rsidR="00164ECF" w:rsidRPr="007B091A" w:rsidRDefault="00164ECF" w:rsidP="007B091A">
      <w:pPr>
        <w:rPr>
          <w:w w:val="105"/>
        </w:rPr>
      </w:pPr>
    </w:p>
    <w:p w14:paraId="5F503856" w14:textId="77777777" w:rsidR="00164ECF" w:rsidRDefault="00164ECF" w:rsidP="00164ECF">
      <w:pPr>
        <w:ind w:left="3883"/>
        <w:rPr>
          <w:rFonts w:ascii="Times New Roman"/>
          <w:sz w:val="20"/>
        </w:rPr>
      </w:pPr>
      <w:r>
        <w:rPr>
          <w:rFonts w:ascii="Times New Roman"/>
          <w:noProof/>
          <w:sz w:val="20"/>
        </w:rPr>
        <w:drawing>
          <wp:inline distT="0" distB="0" distL="0" distR="0" wp14:anchorId="70BB8792" wp14:editId="654CE92B">
            <wp:extent cx="1371600" cy="914400"/>
            <wp:effectExtent l="0" t="0" r="0" b="0"/>
            <wp:docPr id="1251297943" name="Image 1" descr="A logo of a fire safety compan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fire safety company  Description automatically generated"/>
                    <pic:cNvPicPr/>
                  </pic:nvPicPr>
                  <pic:blipFill>
                    <a:blip r:embed="rId5" cstate="print"/>
                    <a:stretch>
                      <a:fillRect/>
                    </a:stretch>
                  </pic:blipFill>
                  <pic:spPr>
                    <a:xfrm>
                      <a:off x="0" y="0"/>
                      <a:ext cx="1371600" cy="914400"/>
                    </a:xfrm>
                    <a:prstGeom prst="rect">
                      <a:avLst/>
                    </a:prstGeom>
                  </pic:spPr>
                </pic:pic>
              </a:graphicData>
            </a:graphic>
          </wp:inline>
        </w:drawing>
      </w:r>
    </w:p>
    <w:p w14:paraId="238E1F93" w14:textId="77777777" w:rsidR="00164ECF" w:rsidRDefault="00164ECF" w:rsidP="00164ECF">
      <w:pPr>
        <w:pStyle w:val="BodyText"/>
        <w:spacing w:before="55"/>
        <w:rPr>
          <w:rFonts w:ascii="Times New Roman"/>
          <w:sz w:val="20"/>
        </w:rPr>
      </w:pPr>
    </w:p>
    <w:tbl>
      <w:tblPr>
        <w:tblW w:w="9345" w:type="dxa"/>
        <w:tblInd w:w="375" w:type="dxa"/>
        <w:tblBorders>
          <w:top w:val="single" w:sz="6" w:space="0" w:color="84B3DF"/>
          <w:left w:val="single" w:sz="6" w:space="0" w:color="84B3DF"/>
          <w:bottom w:val="single" w:sz="6" w:space="0" w:color="84B3DF"/>
          <w:right w:val="single" w:sz="6" w:space="0" w:color="84B3DF"/>
          <w:insideH w:val="single" w:sz="6" w:space="0" w:color="84B3DF"/>
          <w:insideV w:val="single" w:sz="6" w:space="0" w:color="84B3DF"/>
        </w:tblBorders>
        <w:tblLayout w:type="fixed"/>
        <w:tblCellMar>
          <w:left w:w="0" w:type="dxa"/>
          <w:right w:w="0" w:type="dxa"/>
        </w:tblCellMar>
        <w:tblLook w:val="01E0" w:firstRow="1" w:lastRow="1" w:firstColumn="1" w:lastColumn="1" w:noHBand="0" w:noVBand="0"/>
      </w:tblPr>
      <w:tblGrid>
        <w:gridCol w:w="4045"/>
        <w:gridCol w:w="5300"/>
      </w:tblGrid>
      <w:tr w:rsidR="00164ECF" w14:paraId="3276E966" w14:textId="77777777" w:rsidTr="00EE073F">
        <w:trPr>
          <w:trHeight w:val="299"/>
        </w:trPr>
        <w:tc>
          <w:tcPr>
            <w:tcW w:w="4045" w:type="dxa"/>
            <w:tcBorders>
              <w:right w:val="nil"/>
            </w:tcBorders>
            <w:shd w:val="clear" w:color="auto" w:fill="5B9BD5"/>
          </w:tcPr>
          <w:p w14:paraId="1E5E0633" w14:textId="77777777" w:rsidR="00164ECF" w:rsidRDefault="00164ECF" w:rsidP="00EE073F">
            <w:pPr>
              <w:pStyle w:val="TableParagraph"/>
              <w:ind w:left="80" w:right="94"/>
              <w:jc w:val="center"/>
              <w:rPr>
                <w:b/>
              </w:rPr>
            </w:pPr>
            <w:r>
              <w:rPr>
                <w:b/>
                <w:color w:val="FFFFFF"/>
                <w:spacing w:val="-2"/>
              </w:rPr>
              <w:t>VISION</w:t>
            </w:r>
          </w:p>
        </w:tc>
        <w:tc>
          <w:tcPr>
            <w:tcW w:w="5300" w:type="dxa"/>
            <w:tcBorders>
              <w:left w:val="nil"/>
            </w:tcBorders>
            <w:shd w:val="clear" w:color="auto" w:fill="5B9BD5"/>
          </w:tcPr>
          <w:p w14:paraId="1820840F" w14:textId="77777777" w:rsidR="00164ECF" w:rsidRDefault="00164ECF" w:rsidP="00EE073F">
            <w:pPr>
              <w:pStyle w:val="TableParagraph"/>
              <w:ind w:left="78" w:right="1"/>
              <w:jc w:val="center"/>
              <w:rPr>
                <w:b/>
              </w:rPr>
            </w:pPr>
            <w:r>
              <w:rPr>
                <w:b/>
                <w:color w:val="FFFFFF"/>
                <w:spacing w:val="-2"/>
              </w:rPr>
              <w:t>MISSION</w:t>
            </w:r>
          </w:p>
        </w:tc>
      </w:tr>
      <w:tr w:rsidR="00164ECF" w14:paraId="15163CEC" w14:textId="77777777" w:rsidTr="00EE073F">
        <w:trPr>
          <w:trHeight w:val="299"/>
        </w:trPr>
        <w:tc>
          <w:tcPr>
            <w:tcW w:w="4045" w:type="dxa"/>
            <w:tcBorders>
              <w:right w:val="nil"/>
            </w:tcBorders>
            <w:shd w:val="clear" w:color="auto" w:fill="D6E6F4"/>
          </w:tcPr>
          <w:p w14:paraId="16E4BF81" w14:textId="77777777" w:rsidR="00164ECF" w:rsidRDefault="00164ECF" w:rsidP="00EE073F">
            <w:pPr>
              <w:pStyle w:val="TableParagraph"/>
              <w:ind w:left="168" w:right="94"/>
              <w:jc w:val="center"/>
              <w:rPr>
                <w:b/>
              </w:rPr>
            </w:pPr>
            <w:r>
              <w:rPr>
                <w:b/>
              </w:rPr>
              <w:t>(Whom</w:t>
            </w:r>
            <w:r>
              <w:rPr>
                <w:b/>
                <w:spacing w:val="-4"/>
              </w:rPr>
              <w:t xml:space="preserve"> </w:t>
            </w:r>
            <w:r>
              <w:rPr>
                <w:b/>
              </w:rPr>
              <w:t>we’re</w:t>
            </w:r>
            <w:r>
              <w:rPr>
                <w:b/>
                <w:spacing w:val="-3"/>
              </w:rPr>
              <w:t xml:space="preserve"> </w:t>
            </w:r>
            <w:r>
              <w:rPr>
                <w:b/>
                <w:spacing w:val="-2"/>
              </w:rPr>
              <w:t>becoming.)</w:t>
            </w:r>
          </w:p>
        </w:tc>
        <w:tc>
          <w:tcPr>
            <w:tcW w:w="5300" w:type="dxa"/>
            <w:tcBorders>
              <w:left w:val="nil"/>
            </w:tcBorders>
            <w:shd w:val="clear" w:color="auto" w:fill="D6E6F4"/>
          </w:tcPr>
          <w:p w14:paraId="60937C59" w14:textId="77777777" w:rsidR="00164ECF" w:rsidRDefault="00164ECF" w:rsidP="00EE073F">
            <w:pPr>
              <w:pStyle w:val="TableParagraph"/>
              <w:ind w:left="78"/>
              <w:jc w:val="center"/>
              <w:rPr>
                <w:b/>
              </w:rPr>
            </w:pPr>
            <w:r>
              <w:rPr>
                <w:b/>
              </w:rPr>
              <w:t>(Why</w:t>
            </w:r>
            <w:r>
              <w:rPr>
                <w:b/>
                <w:spacing w:val="-2"/>
              </w:rPr>
              <w:t xml:space="preserve"> </w:t>
            </w:r>
            <w:r>
              <w:rPr>
                <w:b/>
              </w:rPr>
              <w:t>we</w:t>
            </w:r>
            <w:r>
              <w:rPr>
                <w:b/>
                <w:spacing w:val="-1"/>
              </w:rPr>
              <w:t xml:space="preserve"> </w:t>
            </w:r>
            <w:r>
              <w:rPr>
                <w:b/>
                <w:spacing w:val="-2"/>
              </w:rPr>
              <w:t>exist.)</w:t>
            </w:r>
          </w:p>
        </w:tc>
      </w:tr>
      <w:tr w:rsidR="00164ECF" w14:paraId="47798C4F" w14:textId="77777777" w:rsidTr="00EE073F">
        <w:trPr>
          <w:trHeight w:val="1074"/>
        </w:trPr>
        <w:tc>
          <w:tcPr>
            <w:tcW w:w="4045" w:type="dxa"/>
            <w:tcBorders>
              <w:right w:val="nil"/>
            </w:tcBorders>
          </w:tcPr>
          <w:p w14:paraId="112BF45E" w14:textId="77777777" w:rsidR="00164ECF" w:rsidRDefault="00164ECF" w:rsidP="00EE073F">
            <w:pPr>
              <w:pStyle w:val="TableParagraph"/>
              <w:ind w:left="0" w:right="94"/>
              <w:jc w:val="center"/>
            </w:pPr>
            <w:r>
              <w:t>The</w:t>
            </w:r>
            <w:r>
              <w:rPr>
                <w:spacing w:val="-5"/>
              </w:rPr>
              <w:t xml:space="preserve"> </w:t>
            </w:r>
            <w:r>
              <w:t>leaders</w:t>
            </w:r>
            <w:r>
              <w:rPr>
                <w:spacing w:val="-4"/>
              </w:rPr>
              <w:t xml:space="preserve"> </w:t>
            </w:r>
            <w:r>
              <w:t>in</w:t>
            </w:r>
            <w:r>
              <w:rPr>
                <w:spacing w:val="-5"/>
              </w:rPr>
              <w:t xml:space="preserve"> </w:t>
            </w:r>
            <w:r>
              <w:t>engineering</w:t>
            </w:r>
            <w:r>
              <w:rPr>
                <w:spacing w:val="-7"/>
              </w:rPr>
              <w:t xml:space="preserve"> </w:t>
            </w:r>
            <w:proofErr w:type="gramStart"/>
            <w:r>
              <w:t>a</w:t>
            </w:r>
            <w:r>
              <w:rPr>
                <w:spacing w:val="-4"/>
              </w:rPr>
              <w:t xml:space="preserve"> </w:t>
            </w:r>
            <w:r>
              <w:t>fire</w:t>
            </w:r>
            <w:proofErr w:type="gramEnd"/>
            <w:r>
              <w:t>-safe</w:t>
            </w:r>
            <w:r>
              <w:rPr>
                <w:spacing w:val="-5"/>
              </w:rPr>
              <w:t xml:space="preserve"> </w:t>
            </w:r>
            <w:r>
              <w:rPr>
                <w:spacing w:val="-2"/>
              </w:rPr>
              <w:t>world.</w:t>
            </w:r>
          </w:p>
        </w:tc>
        <w:tc>
          <w:tcPr>
            <w:tcW w:w="5300" w:type="dxa"/>
            <w:tcBorders>
              <w:left w:val="nil"/>
            </w:tcBorders>
          </w:tcPr>
          <w:p w14:paraId="5E4A6A53" w14:textId="77777777" w:rsidR="00164ECF" w:rsidRDefault="00164ECF" w:rsidP="00EE073F">
            <w:pPr>
              <w:pStyle w:val="TableParagraph"/>
              <w:spacing w:line="240" w:lineRule="auto"/>
              <w:ind w:left="118" w:right="48"/>
            </w:pPr>
            <w:r>
              <w:t>To define, develop, &amp; advance the use of engineering best</w:t>
            </w:r>
            <w:r>
              <w:rPr>
                <w:spacing w:val="-4"/>
              </w:rPr>
              <w:t xml:space="preserve"> </w:t>
            </w:r>
            <w:r>
              <w:t>practices;</w:t>
            </w:r>
            <w:r>
              <w:rPr>
                <w:spacing w:val="-4"/>
              </w:rPr>
              <w:t xml:space="preserve"> </w:t>
            </w:r>
            <w:r>
              <w:t>expand</w:t>
            </w:r>
            <w:r>
              <w:rPr>
                <w:spacing w:val="-6"/>
              </w:rPr>
              <w:t xml:space="preserve"> </w:t>
            </w:r>
            <w:r>
              <w:t>the</w:t>
            </w:r>
            <w:r>
              <w:rPr>
                <w:spacing w:val="-7"/>
              </w:rPr>
              <w:t xml:space="preserve"> </w:t>
            </w:r>
            <w:r>
              <w:t>scientific</w:t>
            </w:r>
            <w:r>
              <w:rPr>
                <w:spacing w:val="-7"/>
              </w:rPr>
              <w:t xml:space="preserve"> </w:t>
            </w:r>
            <w:r>
              <w:t>knowledge</w:t>
            </w:r>
            <w:r>
              <w:rPr>
                <w:spacing w:val="-4"/>
              </w:rPr>
              <w:t xml:space="preserve"> </w:t>
            </w:r>
            <w:r>
              <w:t>base;</w:t>
            </w:r>
            <w:r>
              <w:rPr>
                <w:spacing w:val="-6"/>
              </w:rPr>
              <w:t xml:space="preserve"> </w:t>
            </w:r>
            <w:r>
              <w:t>&amp; educate</w:t>
            </w:r>
            <w:r>
              <w:rPr>
                <w:spacing w:val="-6"/>
              </w:rPr>
              <w:t xml:space="preserve"> </w:t>
            </w:r>
            <w:r>
              <w:t>the</w:t>
            </w:r>
            <w:r>
              <w:rPr>
                <w:spacing w:val="-3"/>
              </w:rPr>
              <w:t xml:space="preserve"> </w:t>
            </w:r>
            <w:r>
              <w:t>global</w:t>
            </w:r>
            <w:r>
              <w:rPr>
                <w:spacing w:val="-4"/>
              </w:rPr>
              <w:t xml:space="preserve"> </w:t>
            </w:r>
            <w:r>
              <w:t>fire</w:t>
            </w:r>
            <w:r>
              <w:rPr>
                <w:spacing w:val="-6"/>
              </w:rPr>
              <w:t xml:space="preserve"> </w:t>
            </w:r>
            <w:r>
              <w:t>safety</w:t>
            </w:r>
            <w:r>
              <w:rPr>
                <w:spacing w:val="-3"/>
              </w:rPr>
              <w:t xml:space="preserve"> </w:t>
            </w:r>
            <w:r>
              <w:t>community</w:t>
            </w:r>
            <w:r>
              <w:rPr>
                <w:spacing w:val="-3"/>
              </w:rPr>
              <w:t xml:space="preserve"> </w:t>
            </w:r>
            <w:r>
              <w:t>to</w:t>
            </w:r>
            <w:r>
              <w:rPr>
                <w:spacing w:val="-3"/>
              </w:rPr>
              <w:t xml:space="preserve"> </w:t>
            </w:r>
            <w:r>
              <w:t>reduce</w:t>
            </w:r>
            <w:r>
              <w:rPr>
                <w:spacing w:val="-3"/>
              </w:rPr>
              <w:t xml:space="preserve"> </w:t>
            </w:r>
            <w:r>
              <w:rPr>
                <w:spacing w:val="-4"/>
              </w:rPr>
              <w:t>fire</w:t>
            </w:r>
          </w:p>
          <w:p w14:paraId="67DDEA7C" w14:textId="77777777" w:rsidR="00164ECF" w:rsidRDefault="00164ECF" w:rsidP="00EE073F">
            <w:pPr>
              <w:pStyle w:val="TableParagraph"/>
              <w:spacing w:line="249" w:lineRule="exact"/>
              <w:ind w:left="118"/>
            </w:pPr>
            <w:r>
              <w:rPr>
                <w:spacing w:val="-2"/>
              </w:rPr>
              <w:t>risk.</w:t>
            </w:r>
          </w:p>
        </w:tc>
      </w:tr>
    </w:tbl>
    <w:p w14:paraId="1D0896CE" w14:textId="77777777" w:rsidR="00164ECF" w:rsidRPr="005D6BD1" w:rsidRDefault="00164ECF" w:rsidP="000C30B0">
      <w:pPr>
        <w:pStyle w:val="Heading1"/>
        <w:spacing w:before="269"/>
        <w:ind w:left="720" w:right="61" w:firstLine="720"/>
        <w:rPr>
          <w:rStyle w:val="BookTitle"/>
        </w:rPr>
      </w:pPr>
      <w:r w:rsidRPr="005D6BD1">
        <w:rPr>
          <w:rStyle w:val="BookTitle"/>
          <w:color w:val="171717" w:themeColor="background2" w:themeShade="1A"/>
        </w:rPr>
        <w:t>BOARD OF DIRECTORS AGENDA – Day 2</w:t>
      </w:r>
    </w:p>
    <w:p w14:paraId="6D8E2A16" w14:textId="77777777" w:rsidR="00164ECF" w:rsidRPr="00CB208A" w:rsidRDefault="00164ECF" w:rsidP="00164ECF">
      <w:pPr>
        <w:spacing w:before="1" w:line="341" w:lineRule="exact"/>
        <w:ind w:left="358" w:right="126"/>
        <w:jc w:val="center"/>
        <w:rPr>
          <w:b/>
          <w:sz w:val="24"/>
          <w:szCs w:val="20"/>
        </w:rPr>
      </w:pPr>
      <w:r>
        <w:rPr>
          <w:b/>
          <w:sz w:val="24"/>
          <w:szCs w:val="20"/>
        </w:rPr>
        <w:t>Level 3 Meeting</w:t>
      </w:r>
      <w:r w:rsidRPr="00CB208A">
        <w:rPr>
          <w:b/>
          <w:sz w:val="24"/>
          <w:szCs w:val="20"/>
        </w:rPr>
        <w:t xml:space="preserve"> Room</w:t>
      </w:r>
      <w:r>
        <w:rPr>
          <w:b/>
          <w:sz w:val="24"/>
          <w:szCs w:val="20"/>
        </w:rPr>
        <w:t xml:space="preserve"> 5</w:t>
      </w:r>
    </w:p>
    <w:p w14:paraId="01F17240" w14:textId="77777777" w:rsidR="00164ECF" w:rsidRPr="00CB208A" w:rsidRDefault="00164ECF" w:rsidP="00164ECF">
      <w:pPr>
        <w:spacing w:before="1" w:line="341" w:lineRule="exact"/>
        <w:ind w:left="358" w:right="126"/>
        <w:jc w:val="center"/>
        <w:rPr>
          <w:b/>
          <w:sz w:val="24"/>
          <w:szCs w:val="20"/>
        </w:rPr>
      </w:pPr>
      <w:r w:rsidRPr="00CB208A">
        <w:rPr>
          <w:b/>
          <w:sz w:val="24"/>
          <w:szCs w:val="20"/>
        </w:rPr>
        <w:t>April 13, 2026</w:t>
      </w:r>
    </w:p>
    <w:p w14:paraId="26B8B63A" w14:textId="77777777" w:rsidR="00164ECF" w:rsidRDefault="00164ECF" w:rsidP="00164ECF">
      <w:pPr>
        <w:pStyle w:val="BodyText"/>
        <w:ind w:left="360"/>
        <w:jc w:val="center"/>
        <w:rPr>
          <w:b/>
          <w:bCs/>
          <w:i/>
          <w:iCs/>
          <w:sz w:val="24"/>
          <w:szCs w:val="24"/>
        </w:rPr>
      </w:pPr>
      <w:r w:rsidRPr="00CB208A">
        <w:rPr>
          <w:b/>
          <w:bCs/>
          <w:i/>
          <w:iCs/>
          <w:sz w:val="24"/>
          <w:szCs w:val="24"/>
        </w:rPr>
        <w:t xml:space="preserve">The Westin Singapore (12 Marina View, Asia Square Tower 2, </w:t>
      </w:r>
      <w:proofErr w:type="gramStart"/>
      <w:r w:rsidRPr="00CB208A">
        <w:rPr>
          <w:b/>
          <w:bCs/>
          <w:i/>
          <w:iCs/>
          <w:sz w:val="24"/>
          <w:szCs w:val="24"/>
        </w:rPr>
        <w:t>Singapore  018961</w:t>
      </w:r>
      <w:proofErr w:type="gramEnd"/>
      <w:r w:rsidRPr="00CB208A">
        <w:rPr>
          <w:b/>
          <w:bCs/>
          <w:i/>
          <w:iCs/>
          <w:sz w:val="24"/>
          <w:szCs w:val="24"/>
        </w:rPr>
        <w:t>, Singapore)</w:t>
      </w:r>
    </w:p>
    <w:p w14:paraId="173392A9" w14:textId="77777777" w:rsidR="00164ECF" w:rsidRDefault="00164ECF" w:rsidP="00164ECF">
      <w:pPr>
        <w:pStyle w:val="BodyText"/>
        <w:ind w:left="360"/>
        <w:jc w:val="center"/>
        <w:rPr>
          <w:b/>
          <w:bCs/>
          <w:i/>
          <w:iCs/>
          <w:sz w:val="24"/>
          <w:szCs w:val="24"/>
        </w:rPr>
      </w:pPr>
      <w:r>
        <w:rPr>
          <w:b/>
          <w:bCs/>
          <w:i/>
          <w:iCs/>
          <w:sz w:val="24"/>
          <w:szCs w:val="24"/>
        </w:rPr>
        <w:t>Breakout room:</w:t>
      </w:r>
      <w:r w:rsidRPr="004A2BF1">
        <w:t xml:space="preserve"> </w:t>
      </w:r>
      <w:r w:rsidRPr="004A2BF1">
        <w:rPr>
          <w:b/>
          <w:bCs/>
          <w:i/>
          <w:iCs/>
          <w:sz w:val="24"/>
          <w:szCs w:val="24"/>
        </w:rPr>
        <w:t>Meeting Room 3</w:t>
      </w:r>
    </w:p>
    <w:p w14:paraId="308E21BB" w14:textId="77777777" w:rsidR="00164ECF" w:rsidRPr="00CB208A" w:rsidRDefault="00164ECF" w:rsidP="00164ECF">
      <w:pPr>
        <w:pStyle w:val="BodyText"/>
        <w:ind w:left="360"/>
        <w:jc w:val="center"/>
        <w:rPr>
          <w:b/>
          <w:bCs/>
          <w:i/>
          <w:iCs/>
          <w:sz w:val="24"/>
          <w:szCs w:val="24"/>
        </w:rPr>
      </w:pPr>
      <w:r w:rsidRPr="004A2BF1">
        <w:rPr>
          <w:b/>
          <w:bCs/>
          <w:i/>
          <w:iCs/>
          <w:sz w:val="24"/>
          <w:szCs w:val="24"/>
        </w:rPr>
        <w:t xml:space="preserve">The meeting </w:t>
      </w:r>
      <w:proofErr w:type="spellStart"/>
      <w:r w:rsidRPr="004A2BF1">
        <w:rPr>
          <w:b/>
          <w:bCs/>
          <w:i/>
          <w:iCs/>
          <w:sz w:val="24"/>
          <w:szCs w:val="24"/>
        </w:rPr>
        <w:t>wifi</w:t>
      </w:r>
      <w:proofErr w:type="spellEnd"/>
      <w:r w:rsidRPr="004A2BF1">
        <w:rPr>
          <w:b/>
          <w:bCs/>
          <w:i/>
          <w:iCs/>
          <w:sz w:val="24"/>
          <w:szCs w:val="24"/>
        </w:rPr>
        <w:t xml:space="preserve"> is generic and open and doesn’t require a password</w:t>
      </w:r>
    </w:p>
    <w:p w14:paraId="57B0CF96" w14:textId="77777777" w:rsidR="00164ECF" w:rsidRDefault="00164ECF" w:rsidP="00164ECF">
      <w:pPr>
        <w:pStyle w:val="BodyText"/>
        <w:ind w:left="360"/>
        <w:jc w:val="center"/>
        <w:rPr>
          <w:b/>
          <w:bCs/>
          <w:i/>
          <w:iCs/>
          <w:sz w:val="24"/>
          <w:szCs w:val="24"/>
        </w:rPr>
      </w:pPr>
    </w:p>
    <w:p w14:paraId="3518805D" w14:textId="77777777" w:rsidR="00164ECF" w:rsidRPr="00CB208A" w:rsidRDefault="00164ECF" w:rsidP="00164ECF">
      <w:pPr>
        <w:pStyle w:val="BodyText"/>
        <w:ind w:left="360"/>
        <w:jc w:val="center"/>
        <w:rPr>
          <w:b/>
          <w:bCs/>
          <w:i/>
          <w:iCs/>
          <w:sz w:val="24"/>
          <w:szCs w:val="24"/>
        </w:rPr>
      </w:pPr>
    </w:p>
    <w:p w14:paraId="08014595" w14:textId="4428C4B0" w:rsidR="00164ECF" w:rsidRDefault="00164ECF" w:rsidP="00164ECF">
      <w:pPr>
        <w:pStyle w:val="BodyText"/>
        <w:ind w:left="360"/>
      </w:pPr>
      <w:r>
        <w:rPr>
          <w:b/>
          <w:u w:val="single"/>
        </w:rPr>
        <w:t>Attending:</w:t>
      </w:r>
      <w:r>
        <w:rPr>
          <w:b/>
        </w:rPr>
        <w:t xml:space="preserve"> </w:t>
      </w:r>
      <w:r>
        <w:t>Shamim Rashid-Sumar (President), Shaun Kelly (President Elect), Jimmy Jönsson (Secretary/Treasurer), Amanda Kimball (Immediate Past-President), Chris Jelenewicz (CEO), Virginia Charter,</w:t>
      </w:r>
      <w:r w:rsidR="006E7852">
        <w:t xml:space="preserve"> </w:t>
      </w:r>
      <w:r>
        <w:t>John</w:t>
      </w:r>
      <w:r>
        <w:rPr>
          <w:spacing w:val="-7"/>
        </w:rPr>
        <w:t xml:space="preserve"> </w:t>
      </w:r>
      <w:r>
        <w:t>Frank,</w:t>
      </w:r>
      <w:r>
        <w:rPr>
          <w:spacing w:val="-7"/>
        </w:rPr>
        <w:t xml:space="preserve"> </w:t>
      </w:r>
      <w:r>
        <w:t>Mark</w:t>
      </w:r>
      <w:r>
        <w:rPr>
          <w:spacing w:val="-5"/>
        </w:rPr>
        <w:t xml:space="preserve"> </w:t>
      </w:r>
      <w:r>
        <w:t>Hopkins,</w:t>
      </w:r>
      <w:r>
        <w:rPr>
          <w:spacing w:val="-7"/>
        </w:rPr>
        <w:t xml:space="preserve"> </w:t>
      </w:r>
      <w:r>
        <w:t>Elizabeth</w:t>
      </w:r>
      <w:r>
        <w:rPr>
          <w:spacing w:val="-7"/>
        </w:rPr>
        <w:t xml:space="preserve"> </w:t>
      </w:r>
      <w:r>
        <w:t>Pennacchio,</w:t>
      </w:r>
      <w:r>
        <w:rPr>
          <w:spacing w:val="-7"/>
        </w:rPr>
        <w:t xml:space="preserve"> </w:t>
      </w:r>
      <w:r>
        <w:t>Jeﬀ Tubbs, Craig Vesely,</w:t>
      </w:r>
      <w:r>
        <w:rPr>
          <w:spacing w:val="-7"/>
        </w:rPr>
        <w:t xml:space="preserve"> Karl Wallasch, </w:t>
      </w:r>
      <w:r>
        <w:t>Michael Wojcik</w:t>
      </w:r>
    </w:p>
    <w:p w14:paraId="33D717C8" w14:textId="77777777" w:rsidR="00164ECF" w:rsidRDefault="00164ECF" w:rsidP="00164ECF">
      <w:pPr>
        <w:pStyle w:val="BodyText"/>
        <w:ind w:left="360"/>
      </w:pPr>
    </w:p>
    <w:p w14:paraId="5DB82567" w14:textId="3ABA4A63" w:rsidR="00164ECF" w:rsidRDefault="00164ECF" w:rsidP="00164ECF">
      <w:pPr>
        <w:pStyle w:val="BodyText"/>
        <w:ind w:left="360"/>
      </w:pPr>
      <w:r w:rsidRPr="00181EF8">
        <w:rPr>
          <w:b/>
          <w:bCs/>
          <w:u w:val="single"/>
        </w:rPr>
        <w:t>Guests</w:t>
      </w:r>
      <w:r>
        <w:t xml:space="preserve">: </w:t>
      </w:r>
    </w:p>
    <w:p w14:paraId="24681387" w14:textId="77777777" w:rsidR="006E7852" w:rsidRDefault="006E7852" w:rsidP="00164ECF">
      <w:pPr>
        <w:pStyle w:val="BodyText"/>
        <w:ind w:left="360"/>
      </w:pPr>
    </w:p>
    <w:p w14:paraId="73039728" w14:textId="70DD806D" w:rsidR="006E7852" w:rsidRPr="006E7852" w:rsidRDefault="006E7852" w:rsidP="00164ECF">
      <w:pPr>
        <w:pStyle w:val="BodyText"/>
        <w:ind w:left="360"/>
        <w:rPr>
          <w:b/>
          <w:bCs/>
          <w:u w:val="single"/>
        </w:rPr>
      </w:pPr>
      <w:r w:rsidRPr="006E7852">
        <w:rPr>
          <w:b/>
          <w:bCs/>
          <w:u w:val="single"/>
        </w:rPr>
        <w:t>Online</w:t>
      </w:r>
      <w:r>
        <w:rPr>
          <w:b/>
          <w:bCs/>
          <w:u w:val="single"/>
        </w:rPr>
        <w:t xml:space="preserve">: </w:t>
      </w:r>
      <w:r>
        <w:t>John Denhardt</w:t>
      </w:r>
    </w:p>
    <w:p w14:paraId="7C7FC0C6" w14:textId="77777777" w:rsidR="00164ECF" w:rsidRDefault="00164ECF" w:rsidP="00164ECF">
      <w:pPr>
        <w:pStyle w:val="BodyText"/>
        <w:ind w:left="360"/>
      </w:pPr>
    </w:p>
    <w:p w14:paraId="4C135C66" w14:textId="6E41E69E" w:rsidR="00164ECF" w:rsidRDefault="00164ECF" w:rsidP="00164ECF">
      <w:pPr>
        <w:pStyle w:val="BodyText"/>
        <w:ind w:left="360"/>
      </w:pPr>
      <w:r>
        <w:rPr>
          <w:b/>
          <w:u w:val="single"/>
        </w:rPr>
        <w:t>Staff</w:t>
      </w:r>
      <w:r>
        <w:rPr>
          <w:b/>
          <w:spacing w:val="-7"/>
          <w:u w:val="single"/>
        </w:rPr>
        <w:t xml:space="preserve"> </w:t>
      </w:r>
      <w:r>
        <w:rPr>
          <w:b/>
          <w:u w:val="single"/>
        </w:rPr>
        <w:t>Guests:</w:t>
      </w:r>
      <w:r>
        <w:rPr>
          <w:b/>
          <w:spacing w:val="-6"/>
        </w:rPr>
        <w:t xml:space="preserve"> </w:t>
      </w:r>
      <w:r>
        <w:t>Ben</w:t>
      </w:r>
      <w:r>
        <w:rPr>
          <w:spacing w:val="-5"/>
        </w:rPr>
        <w:t xml:space="preserve"> </w:t>
      </w:r>
      <w:r>
        <w:t>Fogel,</w:t>
      </w:r>
      <w:r>
        <w:rPr>
          <w:spacing w:val="-6"/>
        </w:rPr>
        <w:t xml:space="preserve"> </w:t>
      </w:r>
      <w:r>
        <w:t>Bryan</w:t>
      </w:r>
      <w:r>
        <w:rPr>
          <w:spacing w:val="-5"/>
        </w:rPr>
        <w:t xml:space="preserve"> </w:t>
      </w:r>
      <w:r>
        <w:t>Bennett,</w:t>
      </w:r>
      <w:r>
        <w:rPr>
          <w:spacing w:val="-5"/>
        </w:rPr>
        <w:t xml:space="preserve"> Austin Guerrazzi, </w:t>
      </w:r>
      <w:r>
        <w:t>Hana</w:t>
      </w:r>
      <w:r>
        <w:rPr>
          <w:spacing w:val="-4"/>
        </w:rPr>
        <w:t xml:space="preserve"> </w:t>
      </w:r>
      <w:proofErr w:type="gramStart"/>
      <w:r>
        <w:t>Herron ,</w:t>
      </w:r>
      <w:proofErr w:type="gramEnd"/>
      <w:r>
        <w:rPr>
          <w:spacing w:val="-4"/>
        </w:rPr>
        <w:t xml:space="preserve"> Eva </w:t>
      </w:r>
      <w:r w:rsidRPr="00BD6CB0">
        <w:rPr>
          <w:spacing w:val="-4"/>
        </w:rPr>
        <w:t>Przygodzki</w:t>
      </w:r>
      <w:r>
        <w:rPr>
          <w:spacing w:val="-4"/>
        </w:rPr>
        <w:t>,</w:t>
      </w:r>
      <w:r w:rsidRPr="00BD6CB0">
        <w:rPr>
          <w:spacing w:val="-4"/>
        </w:rPr>
        <w:t xml:space="preserve"> </w:t>
      </w:r>
      <w:r>
        <w:rPr>
          <w:spacing w:val="-4"/>
        </w:rPr>
        <w:t>Joshua Reichert</w:t>
      </w:r>
    </w:p>
    <w:p w14:paraId="1DCC8142" w14:textId="77777777" w:rsidR="00164ECF" w:rsidRDefault="00164ECF" w:rsidP="00164ECF">
      <w:pPr>
        <w:pStyle w:val="BodyText"/>
        <w:ind w:left="360"/>
      </w:pPr>
    </w:p>
    <w:p w14:paraId="49879066" w14:textId="77777777" w:rsidR="00164ECF" w:rsidRDefault="00164ECF" w:rsidP="00164ECF">
      <w:pPr>
        <w:spacing w:before="238" w:after="2"/>
        <w:ind w:left="360"/>
        <w:rPr>
          <w:b/>
          <w:sz w:val="28"/>
        </w:rPr>
      </w:pPr>
      <w:r>
        <w:rPr>
          <w:b/>
          <w:sz w:val="28"/>
        </w:rPr>
        <w:t>Tuesday April 14, 2026</w:t>
      </w:r>
    </w:p>
    <w:p w14:paraId="68993990" w14:textId="77777777" w:rsidR="000C30B0" w:rsidRDefault="000C30B0" w:rsidP="002746FB"/>
    <w:p w14:paraId="5D591227" w14:textId="2B85525E" w:rsidR="000C30B0" w:rsidRDefault="000C30B0" w:rsidP="002746FB">
      <w:pPr>
        <w:pStyle w:val="ListParagraph"/>
        <w:numPr>
          <w:ilvl w:val="0"/>
          <w:numId w:val="1"/>
        </w:numPr>
      </w:pPr>
      <w:r>
        <w:t>Director Updates (10 minutes each)</w:t>
      </w:r>
    </w:p>
    <w:p w14:paraId="6E4DB772" w14:textId="25A9B053" w:rsidR="000C30B0" w:rsidRPr="00A37860" w:rsidRDefault="00A37860" w:rsidP="00A37860">
      <w:pPr>
        <w:pStyle w:val="ListParagraph"/>
        <w:ind w:left="1080"/>
        <w:rPr>
          <w:b/>
          <w:bCs/>
        </w:rPr>
      </w:pPr>
      <w:r w:rsidRPr="00A37860">
        <w:rPr>
          <w:b/>
          <w:bCs/>
        </w:rPr>
        <w:t xml:space="preserve">Membership </w:t>
      </w:r>
    </w:p>
    <w:p w14:paraId="59FC9E21" w14:textId="79BFE7E3" w:rsidR="00A37860" w:rsidRDefault="00A37860" w:rsidP="00A37860">
      <w:r>
        <w:t xml:space="preserve">Fogel briefed the board on the efforts made by membership. </w:t>
      </w:r>
      <w:r w:rsidRPr="00A37860">
        <w:t xml:space="preserve">SFPE Awards and Fellow nominations have officially closed, with 50 award nominations and six Fellow nominations received as of April 2, and final numbers expected to increase prior to the deadline. The review process will proceed with the Awards Subcommittee receiving eligible nominations on April 27 via the online review system, followed by a </w:t>
      </w:r>
      <w:r w:rsidRPr="00A37860">
        <w:lastRenderedPageBreak/>
        <w:t xml:space="preserve">meeting on May 21 to evaluate and vote on recommendations, submission of final recommendations to the Board on May 28, and formal voting scheduled for the June 11 Board meeting, with any follow-up actions and communications to nominators occurring in June and July as needed. Appreciation was noted for all participants who contributed to the nomination process, recognizing the importance of honoring member achievements. Professional Membership applications totaled 27 in the most recent cycle, reflecting an 18% increase compared to Q1 2025, with continued efforts focused on growth through a </w:t>
      </w:r>
      <w:proofErr w:type="gramStart"/>
      <w:r w:rsidRPr="00A37860">
        <w:t>new testimonial campaign highlighting member experiences</w:t>
      </w:r>
      <w:proofErr w:type="gramEnd"/>
      <w:r w:rsidRPr="00A37860">
        <w:t xml:space="preserve"> and the value of Professional membership. Upcoming initiatives will also prioritize Recent Graduate and Student Membership engagement through a new series of “Day-in-the-Life” videos, showcasing student experiences and the transition into the workforce, while reinforcing career messaging aligned with ongoing efforts from the Careers and Chapters Task Groups.</w:t>
      </w:r>
      <w:r w:rsidR="0016064A">
        <w:t xml:space="preserve"> </w:t>
      </w:r>
    </w:p>
    <w:p w14:paraId="43B5ADE2" w14:textId="77777777" w:rsidR="00A37860" w:rsidRDefault="00A37860" w:rsidP="00A37860"/>
    <w:p w14:paraId="659CA758" w14:textId="14E82C27" w:rsidR="000C30B0" w:rsidRPr="00A37860" w:rsidRDefault="00A37860" w:rsidP="002746FB">
      <w:pPr>
        <w:pStyle w:val="ListParagraph"/>
        <w:numPr>
          <w:ilvl w:val="0"/>
          <w:numId w:val="1"/>
        </w:numPr>
        <w:rPr>
          <w:b/>
          <w:bCs/>
        </w:rPr>
      </w:pPr>
      <w:r w:rsidRPr="00A37860">
        <w:rPr>
          <w:b/>
          <w:bCs/>
        </w:rPr>
        <w:t xml:space="preserve">Marketing </w:t>
      </w:r>
    </w:p>
    <w:p w14:paraId="58D1B089" w14:textId="75BC1792" w:rsidR="00A37860" w:rsidRDefault="00A37860" w:rsidP="00A37860">
      <w:r>
        <w:t xml:space="preserve">Guerrazzi presented the marking report declaring that advertising sales remain on track to meet 2026 revenue goals across all platforms, including the website, FPE Extra, SFPE Newsletters, FPE Magazine, and custom eblasts. A comprehensive review of user engagement versus advertising placements is planned for mid-2026, with </w:t>
      </w:r>
      <w:proofErr w:type="gramStart"/>
      <w:r>
        <w:t>the end</w:t>
      </w:r>
      <w:proofErr w:type="gramEnd"/>
      <w:r>
        <w:t xml:space="preserve"> goal of optimizing advertising offerings for 2027.</w:t>
      </w:r>
      <w:r w:rsidR="006E7852">
        <w:t xml:space="preserve"> </w:t>
      </w:r>
      <w:r>
        <w:t xml:space="preserve">Work on the 2026 SFPE Compensation and Benefits Report is progressing according to schedule. The survey closed at the end of March 2026, with data finalization expected in June. Design is slated for completion </w:t>
      </w:r>
      <w:proofErr w:type="gramStart"/>
      <w:r>
        <w:t>in</w:t>
      </w:r>
      <w:proofErr w:type="gramEnd"/>
      <w:r>
        <w:t xml:space="preserve"> early to mid-September 2026, and the report is expected to be published in late September or early October 2026. The report will be complimentary to SFPE members and hosted on the </w:t>
      </w:r>
      <w:proofErr w:type="spellStart"/>
      <w:r>
        <w:t>GTxcel</w:t>
      </w:r>
      <w:proofErr w:type="spellEnd"/>
      <w:r>
        <w:t xml:space="preserve"> platform (FPE Magazine). Paid LinkedIn campaigns continue to be executed as low-budget, high-impact efforts. Campaigns in Q4 2025 and Q1 2026 focused on the PBD Conference and PE Exam Review Course. Looking ahead, Q2 and Q3 2026 campaigns will promote membership, the 2026 Annual Conference, the Venice Symposium, and the Principles of Fire Protection Engineering On-Demand Course. A new video production pipeline and content strategy has been introduced, aimed at regularly producing low-cost videos that highlight SFPE members through interviews conducted at SFPE events. The minimum goal is to produce several videos per year aligned with organizational priorities, including membership, events, student outreach and careers, and other initiatives.</w:t>
      </w:r>
      <w:r w:rsidR="006E7852">
        <w:t xml:space="preserve"> </w:t>
      </w:r>
      <w:r>
        <w:t xml:space="preserve">Board of Directors and Nominating Committee nominations are now open. Outreach to the SFPE membership will run from May 1 through May 31. The Board of Directors and Nominating </w:t>
      </w:r>
      <w:proofErr w:type="gramStart"/>
      <w:r>
        <w:t>Committee slate</w:t>
      </w:r>
      <w:proofErr w:type="gramEnd"/>
      <w:r>
        <w:t xml:space="preserve"> will be distributed to membership by August 31, with elections opening in October.</w:t>
      </w:r>
    </w:p>
    <w:p w14:paraId="71445052" w14:textId="77777777" w:rsidR="006E7852" w:rsidRDefault="006E7852" w:rsidP="00A37860"/>
    <w:p w14:paraId="4CD2DCF1" w14:textId="77777777" w:rsidR="006E7852" w:rsidRDefault="00F251DF" w:rsidP="002746FB">
      <w:pPr>
        <w:pStyle w:val="ListParagraph"/>
        <w:numPr>
          <w:ilvl w:val="0"/>
          <w:numId w:val="1"/>
        </w:numPr>
        <w:rPr>
          <w:color w:val="000000" w:themeColor="text1"/>
        </w:rPr>
      </w:pPr>
      <w:r w:rsidRPr="00F251DF">
        <w:rPr>
          <w:b/>
          <w:bCs/>
          <w:color w:val="000000" w:themeColor="text1"/>
        </w:rPr>
        <w:t>Education and Events</w:t>
      </w:r>
      <w:r>
        <w:rPr>
          <w:color w:val="000000" w:themeColor="text1"/>
        </w:rPr>
        <w:t xml:space="preserve"> </w:t>
      </w:r>
    </w:p>
    <w:p w14:paraId="73951A37" w14:textId="10D7CA01" w:rsidR="007827DD" w:rsidRPr="006E7852" w:rsidRDefault="007827DD" w:rsidP="006E7852">
      <w:pPr>
        <w:rPr>
          <w:color w:val="000000" w:themeColor="text1"/>
        </w:rPr>
      </w:pPr>
      <w:r w:rsidRPr="006E7852">
        <w:t>He</w:t>
      </w:r>
      <w:r w:rsidR="006E7852">
        <w:t>r</w:t>
      </w:r>
      <w:r w:rsidRPr="006E7852">
        <w:t xml:space="preserve">ron provided an update on Education Initiatives, noting that Ryan Tunkel has transitioned from Engineering to Education to support the expansion of ongoing learning opportunities. His primary focus will include SFPE webinars, the Learning Management System (LMS), and SFPE symposia. Development of the annual webinar schedule is underway to ensure a diverse range of topics, and Board members were encouraged to submit recommendations for strong presentations encountered at the conference. Upcoming webinars include sessions by Steve Gwynne on enhancing prescriptive approaches using performance-based methods, Jeremy Souza on lessons learned from AFFF to SFFF conversions, as well as additional sessions organized by the Fire Service Subcommittee and Foundation research projects. Herron also highlighted upcoming seminars, including Bryan Klein’s Introductory and Advanced FDS courses scheduled for April and September, respectively; Merton Bunker’s virtual 12-hour course on fire alarm and signaling systems in May; and Vladimir Mozer’s 15-hour course on fire risk assessment in July, designed to be accessible for the Asia/Oceania time zone. An update was provided on the PE Exam Review Course, noting that two mock exams have been released to participants to mirror the structure and pacing of the actual exam. Beginning with the April 2027 exam, updated specifications will take </w:t>
      </w:r>
      <w:r w:rsidRPr="006E7852">
        <w:lastRenderedPageBreak/>
        <w:t xml:space="preserve">effect. The committee is evaluating potential adjustments to emphasize more targeted preparation and incorporate additional on-demand content, with consideration of shifting the course launch from November to January. SFPE has also updated its course </w:t>
      </w:r>
      <w:proofErr w:type="gramStart"/>
      <w:r w:rsidRPr="006E7852">
        <w:t>survey, and</w:t>
      </w:r>
      <w:proofErr w:type="gramEnd"/>
      <w:r w:rsidRPr="006E7852">
        <w:t xml:space="preserve"> following the release of pass rate data after April 16, the committee will meet with instructors to determine the direction of the 2027 course. Herron reported on several upcoming events, including the Annual Conference in Atlanta (October 6–8, 2026), which has received over 100 abstracts and is currently under program committee review, with registration opening in June and sponsorship and exhibit sales underway through new management software. The Engineering Symposium in Venice is nearing finalization, with registration opening in May and strong involvement from the Italian chapter. The European Conference in Geneva (April 2027) will open for abstract submissions in June, with support from the Swiss chapter. Looking ahead to 2027, plans include hosting an additional symposium on the East Coast following the success of the 2024 Phoenix event, as well as exploring a potential collaboration with SWRI in Texas on a flammable liquids and foam suppression symposium, with further updates expected in October. The next Performance-Based Design Conference location will be announced shortly, with April 2028 dates secured in Toronto in partnership with SFPE Canada. Finally, Herron provided an update on on-demand course development, noting that Phase 1 is nearing completion with internal committee reviews scheduled for the next quarter. The Phase 2 project plan has been finalized, with a targeted launch aligned with the Annual Conference.</w:t>
      </w:r>
    </w:p>
    <w:p w14:paraId="78D7F446" w14:textId="77777777" w:rsidR="00A37860" w:rsidRPr="00A37860" w:rsidRDefault="00A37860" w:rsidP="00A37860">
      <w:pPr>
        <w:pStyle w:val="ListParagraph"/>
        <w:ind w:left="1080"/>
        <w:rPr>
          <w:color w:val="EE0000"/>
        </w:rPr>
      </w:pPr>
    </w:p>
    <w:p w14:paraId="2035B58B" w14:textId="404FFD79" w:rsidR="00A37860" w:rsidRDefault="00A37860" w:rsidP="00A37860"/>
    <w:p w14:paraId="3F8FCF5E" w14:textId="5876D9A6" w:rsidR="000C30B0" w:rsidRDefault="00A37860" w:rsidP="002746FB">
      <w:pPr>
        <w:pStyle w:val="ListParagraph"/>
        <w:numPr>
          <w:ilvl w:val="0"/>
          <w:numId w:val="1"/>
        </w:numPr>
        <w:rPr>
          <w:color w:val="000000" w:themeColor="text1"/>
        </w:rPr>
      </w:pPr>
      <w:r w:rsidRPr="007628BC">
        <w:rPr>
          <w:color w:val="000000" w:themeColor="text1"/>
        </w:rPr>
        <w:t>Engineering</w:t>
      </w:r>
      <w:r w:rsidR="0055752A">
        <w:rPr>
          <w:color w:val="000000" w:themeColor="text1"/>
        </w:rPr>
        <w:t>-</w:t>
      </w:r>
      <w:r w:rsidR="0055752A" w:rsidRPr="0055752A">
        <w:rPr>
          <w:b/>
          <w:bCs/>
          <w:color w:val="000000" w:themeColor="text1"/>
        </w:rPr>
        <w:t xml:space="preserve"> Reichert</w:t>
      </w:r>
      <w:r w:rsidR="0055752A">
        <w:rPr>
          <w:color w:val="000000" w:themeColor="text1"/>
        </w:rPr>
        <w:t xml:space="preserve"> </w:t>
      </w:r>
    </w:p>
    <w:p w14:paraId="7B6137A8" w14:textId="79C3AFC4" w:rsidR="007628BC" w:rsidRDefault="007628BC" w:rsidP="007827DD">
      <w:pPr>
        <w:rPr>
          <w:color w:val="000000" w:themeColor="text1"/>
        </w:rPr>
      </w:pPr>
      <w:r>
        <w:rPr>
          <w:color w:val="000000" w:themeColor="text1"/>
        </w:rPr>
        <w:t>Reichert introduced himself to the board</w:t>
      </w:r>
      <w:r w:rsidR="007827DD">
        <w:rPr>
          <w:color w:val="000000" w:themeColor="text1"/>
        </w:rPr>
        <w:t xml:space="preserve">. Reichert’s </w:t>
      </w:r>
      <w:r w:rsidR="007827DD" w:rsidRPr="007827DD">
        <w:rPr>
          <w:color w:val="000000" w:themeColor="text1"/>
        </w:rPr>
        <w:t>update was provided on Professional Qualifications, noting that Glynis</w:t>
      </w:r>
      <w:r w:rsidR="007827DD">
        <w:rPr>
          <w:color w:val="000000" w:themeColor="text1"/>
        </w:rPr>
        <w:t xml:space="preserve"> Thompson</w:t>
      </w:r>
      <w:r w:rsidR="007827DD" w:rsidRPr="007827DD">
        <w:rPr>
          <w:color w:val="000000" w:themeColor="text1"/>
        </w:rPr>
        <w:t xml:space="preserve"> recently met with </w:t>
      </w:r>
      <w:r w:rsidR="007827DD">
        <w:rPr>
          <w:color w:val="000000" w:themeColor="text1"/>
        </w:rPr>
        <w:t xml:space="preserve">other SFPE members </w:t>
      </w:r>
      <w:r w:rsidR="007827DD" w:rsidRPr="007827DD">
        <w:rPr>
          <w:color w:val="000000" w:themeColor="text1"/>
        </w:rPr>
        <w:t>regarding Fire Protection Engineer roles and is in the process of coordinating a follow-up meeting. It was also noted that the PE Exam is taking place this week, with the next related meeting anticipated in August.</w:t>
      </w:r>
      <w:r w:rsidR="006E7852">
        <w:rPr>
          <w:color w:val="000000" w:themeColor="text1"/>
        </w:rPr>
        <w:t xml:space="preserve"> Involving</w:t>
      </w:r>
      <w:r w:rsidR="007827DD" w:rsidRPr="007827DD">
        <w:rPr>
          <w:color w:val="000000" w:themeColor="text1"/>
        </w:rPr>
        <w:t xml:space="preserve"> the Standards Oversight Committee, it was reported that work on Performance-Based Design remains ongoing but has experienced delays due to the chair’s temporary absence. Efforts related to existing buildings continue to progress through ongoing meetings, and work on human behavior remains active.</w:t>
      </w:r>
      <w:r w:rsidR="006E7852">
        <w:rPr>
          <w:color w:val="000000" w:themeColor="text1"/>
        </w:rPr>
        <w:t xml:space="preserve"> </w:t>
      </w:r>
      <w:r w:rsidR="007827DD" w:rsidRPr="007827DD">
        <w:rPr>
          <w:color w:val="000000" w:themeColor="text1"/>
        </w:rPr>
        <w:t>An update from the Codes and Standards Liaison Subcommittee indicated that the ICC working group is actively developing explanatory materials to support ongoing initiatives.</w:t>
      </w:r>
      <w:r w:rsidR="006E7852">
        <w:rPr>
          <w:color w:val="000000" w:themeColor="text1"/>
        </w:rPr>
        <w:t xml:space="preserve"> </w:t>
      </w:r>
      <w:r w:rsidR="007827DD" w:rsidRPr="007827DD">
        <w:rPr>
          <w:color w:val="000000" w:themeColor="text1"/>
        </w:rPr>
        <w:t>Additional updates included participation in several external and collaborative efforts. Representation has been established within the ICC Performance Code as an alternate, and involvement with the FCAC has commenced. Public input opportunities for NFPA standards are currently open for submission. Continued contributions to the Fire Technology Editorial Board and SFPE technical content at conferences were also noted, along with ongoing foundation-related work.</w:t>
      </w:r>
    </w:p>
    <w:p w14:paraId="3F82CAC6" w14:textId="77777777" w:rsidR="0055752A" w:rsidRPr="007628BC" w:rsidRDefault="0055752A" w:rsidP="007628BC">
      <w:pPr>
        <w:rPr>
          <w:color w:val="000000" w:themeColor="text1"/>
        </w:rPr>
      </w:pPr>
    </w:p>
    <w:p w14:paraId="1B5A79C2" w14:textId="77777777" w:rsidR="006E7852" w:rsidRPr="000C30B0" w:rsidRDefault="006E7852" w:rsidP="006E7852"/>
    <w:p w14:paraId="197DE2CC" w14:textId="70ACF664" w:rsidR="000C30B0" w:rsidRDefault="000C30B0" w:rsidP="002746FB">
      <w:pPr>
        <w:pStyle w:val="ListParagraph"/>
        <w:numPr>
          <w:ilvl w:val="0"/>
          <w:numId w:val="1"/>
        </w:numPr>
      </w:pPr>
      <w:r>
        <w:t>Adjourn</w:t>
      </w:r>
      <w:r w:rsidR="007827DD">
        <w:t>ed</w:t>
      </w:r>
      <w:r>
        <w:t xml:space="preserve"> </w:t>
      </w:r>
      <w:r w:rsidR="007827DD">
        <w:t>at 1</w:t>
      </w:r>
      <w:r w:rsidR="006E7852">
        <w:t>0</w:t>
      </w:r>
      <w:r w:rsidR="007827DD">
        <w:t>:</w:t>
      </w:r>
      <w:r w:rsidR="00F00A0B">
        <w:t>4</w:t>
      </w:r>
      <w:r w:rsidR="007827DD">
        <w:t>5</w:t>
      </w:r>
      <w:r w:rsidR="006E7852">
        <w:t xml:space="preserve"> am </w:t>
      </w:r>
    </w:p>
    <w:sectPr w:rsidR="000C3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DE9"/>
    <w:multiLevelType w:val="hybridMultilevel"/>
    <w:tmpl w:val="FE7EB798"/>
    <w:lvl w:ilvl="0" w:tplc="FFFFFFFF">
      <w:start w:val="7"/>
      <w:numFmt w:val="decimal"/>
      <w:lvlText w:val="%1."/>
      <w:lvlJc w:val="left"/>
      <w:pPr>
        <w:ind w:left="727" w:hanging="360"/>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1447" w:hanging="360"/>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2212" w:hanging="360"/>
      </w:pPr>
      <w:rPr>
        <w:rFonts w:hint="default"/>
        <w:lang w:val="en-US" w:eastAsia="en-US" w:bidi="ar-SA"/>
      </w:rPr>
    </w:lvl>
    <w:lvl w:ilvl="3" w:tplc="FFFFFFFF">
      <w:numFmt w:val="bullet"/>
      <w:lvlText w:val="•"/>
      <w:lvlJc w:val="left"/>
      <w:pPr>
        <w:ind w:left="2984" w:hanging="360"/>
      </w:pPr>
      <w:rPr>
        <w:rFonts w:hint="default"/>
        <w:lang w:val="en-US" w:eastAsia="en-US" w:bidi="ar-SA"/>
      </w:rPr>
    </w:lvl>
    <w:lvl w:ilvl="4" w:tplc="FFFFFFFF">
      <w:numFmt w:val="bullet"/>
      <w:lvlText w:val="•"/>
      <w:lvlJc w:val="left"/>
      <w:pPr>
        <w:ind w:left="3756" w:hanging="360"/>
      </w:pPr>
      <w:rPr>
        <w:rFonts w:hint="default"/>
        <w:lang w:val="en-US" w:eastAsia="en-US" w:bidi="ar-SA"/>
      </w:rPr>
    </w:lvl>
    <w:lvl w:ilvl="5" w:tplc="FFFFFFFF">
      <w:numFmt w:val="bullet"/>
      <w:lvlText w:val="•"/>
      <w:lvlJc w:val="left"/>
      <w:pPr>
        <w:ind w:left="4528" w:hanging="360"/>
      </w:pPr>
      <w:rPr>
        <w:rFonts w:hint="default"/>
        <w:lang w:val="en-US" w:eastAsia="en-US" w:bidi="ar-SA"/>
      </w:rPr>
    </w:lvl>
    <w:lvl w:ilvl="6" w:tplc="FFFFFFFF">
      <w:numFmt w:val="bullet"/>
      <w:lvlText w:val="•"/>
      <w:lvlJc w:val="left"/>
      <w:pPr>
        <w:ind w:left="5301" w:hanging="360"/>
      </w:pPr>
      <w:rPr>
        <w:rFonts w:hint="default"/>
        <w:lang w:val="en-US" w:eastAsia="en-US" w:bidi="ar-SA"/>
      </w:rPr>
    </w:lvl>
    <w:lvl w:ilvl="7" w:tplc="FFFFFFFF">
      <w:numFmt w:val="bullet"/>
      <w:lvlText w:val="•"/>
      <w:lvlJc w:val="left"/>
      <w:pPr>
        <w:ind w:left="6073" w:hanging="360"/>
      </w:pPr>
      <w:rPr>
        <w:rFonts w:hint="default"/>
        <w:lang w:val="en-US" w:eastAsia="en-US" w:bidi="ar-SA"/>
      </w:rPr>
    </w:lvl>
    <w:lvl w:ilvl="8" w:tplc="FFFFFFFF">
      <w:numFmt w:val="bullet"/>
      <w:lvlText w:val="•"/>
      <w:lvlJc w:val="left"/>
      <w:pPr>
        <w:ind w:left="6845" w:hanging="360"/>
      </w:pPr>
      <w:rPr>
        <w:rFonts w:hint="default"/>
        <w:lang w:val="en-US" w:eastAsia="en-US" w:bidi="ar-SA"/>
      </w:rPr>
    </w:lvl>
  </w:abstractNum>
  <w:abstractNum w:abstractNumId="1" w15:restartNumberingAfterBreak="0">
    <w:nsid w:val="0F822D47"/>
    <w:multiLevelType w:val="hybridMultilevel"/>
    <w:tmpl w:val="D1202F36"/>
    <w:lvl w:ilvl="0" w:tplc="75DA95F2">
      <w:start w:val="8"/>
      <w:numFmt w:val="bullet"/>
      <w:lvlText w:val=""/>
      <w:lvlJc w:val="left"/>
      <w:pPr>
        <w:ind w:left="726" w:hanging="720"/>
      </w:pPr>
      <w:rPr>
        <w:rFonts w:ascii="Symbol" w:eastAsia="Calibri" w:hAnsi="Symbol" w:cs="Calibri"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2" w15:restartNumberingAfterBreak="0">
    <w:nsid w:val="239B27CB"/>
    <w:multiLevelType w:val="hybridMultilevel"/>
    <w:tmpl w:val="B762A7E0"/>
    <w:lvl w:ilvl="0" w:tplc="2F9A8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460474"/>
    <w:multiLevelType w:val="hybridMultilevel"/>
    <w:tmpl w:val="FE7EB798"/>
    <w:lvl w:ilvl="0" w:tplc="E8C20E24">
      <w:start w:val="7"/>
      <w:numFmt w:val="decimal"/>
      <w:lvlText w:val="%1."/>
      <w:lvlJc w:val="left"/>
      <w:pPr>
        <w:ind w:left="727" w:hanging="360"/>
      </w:pPr>
      <w:rPr>
        <w:rFonts w:ascii="Calibri" w:eastAsia="Calibri" w:hAnsi="Calibri" w:cs="Calibri" w:hint="default"/>
        <w:b w:val="0"/>
        <w:bCs w:val="0"/>
        <w:i w:val="0"/>
        <w:iCs w:val="0"/>
        <w:spacing w:val="0"/>
        <w:w w:val="100"/>
        <w:sz w:val="22"/>
        <w:szCs w:val="22"/>
        <w:lang w:val="en-US" w:eastAsia="en-US" w:bidi="ar-SA"/>
      </w:rPr>
    </w:lvl>
    <w:lvl w:ilvl="1" w:tplc="EF704FB0">
      <w:start w:val="1"/>
      <w:numFmt w:val="lowerLetter"/>
      <w:lvlText w:val="%2."/>
      <w:lvlJc w:val="left"/>
      <w:pPr>
        <w:ind w:left="1447" w:hanging="360"/>
      </w:pPr>
      <w:rPr>
        <w:rFonts w:ascii="Calibri" w:eastAsia="Calibri" w:hAnsi="Calibri" w:cs="Calibri" w:hint="default"/>
        <w:b w:val="0"/>
        <w:bCs w:val="0"/>
        <w:i w:val="0"/>
        <w:iCs w:val="0"/>
        <w:spacing w:val="-1"/>
        <w:w w:val="100"/>
        <w:sz w:val="22"/>
        <w:szCs w:val="22"/>
        <w:lang w:val="en-US" w:eastAsia="en-US" w:bidi="ar-SA"/>
      </w:rPr>
    </w:lvl>
    <w:lvl w:ilvl="2" w:tplc="88407A8A">
      <w:numFmt w:val="bullet"/>
      <w:lvlText w:val="•"/>
      <w:lvlJc w:val="left"/>
      <w:pPr>
        <w:ind w:left="2212" w:hanging="360"/>
      </w:pPr>
      <w:rPr>
        <w:rFonts w:hint="default"/>
        <w:lang w:val="en-US" w:eastAsia="en-US" w:bidi="ar-SA"/>
      </w:rPr>
    </w:lvl>
    <w:lvl w:ilvl="3" w:tplc="851E5674">
      <w:numFmt w:val="bullet"/>
      <w:lvlText w:val="•"/>
      <w:lvlJc w:val="left"/>
      <w:pPr>
        <w:ind w:left="2984" w:hanging="360"/>
      </w:pPr>
      <w:rPr>
        <w:rFonts w:hint="default"/>
        <w:lang w:val="en-US" w:eastAsia="en-US" w:bidi="ar-SA"/>
      </w:rPr>
    </w:lvl>
    <w:lvl w:ilvl="4" w:tplc="30A21F2E">
      <w:numFmt w:val="bullet"/>
      <w:lvlText w:val="•"/>
      <w:lvlJc w:val="left"/>
      <w:pPr>
        <w:ind w:left="3756" w:hanging="360"/>
      </w:pPr>
      <w:rPr>
        <w:rFonts w:hint="default"/>
        <w:lang w:val="en-US" w:eastAsia="en-US" w:bidi="ar-SA"/>
      </w:rPr>
    </w:lvl>
    <w:lvl w:ilvl="5" w:tplc="6E786FBE">
      <w:numFmt w:val="bullet"/>
      <w:lvlText w:val="•"/>
      <w:lvlJc w:val="left"/>
      <w:pPr>
        <w:ind w:left="4528" w:hanging="360"/>
      </w:pPr>
      <w:rPr>
        <w:rFonts w:hint="default"/>
        <w:lang w:val="en-US" w:eastAsia="en-US" w:bidi="ar-SA"/>
      </w:rPr>
    </w:lvl>
    <w:lvl w:ilvl="6" w:tplc="6F10349A">
      <w:numFmt w:val="bullet"/>
      <w:lvlText w:val="•"/>
      <w:lvlJc w:val="left"/>
      <w:pPr>
        <w:ind w:left="5301" w:hanging="360"/>
      </w:pPr>
      <w:rPr>
        <w:rFonts w:hint="default"/>
        <w:lang w:val="en-US" w:eastAsia="en-US" w:bidi="ar-SA"/>
      </w:rPr>
    </w:lvl>
    <w:lvl w:ilvl="7" w:tplc="68D8AC1E">
      <w:numFmt w:val="bullet"/>
      <w:lvlText w:val="•"/>
      <w:lvlJc w:val="left"/>
      <w:pPr>
        <w:ind w:left="6073" w:hanging="360"/>
      </w:pPr>
      <w:rPr>
        <w:rFonts w:hint="default"/>
        <w:lang w:val="en-US" w:eastAsia="en-US" w:bidi="ar-SA"/>
      </w:rPr>
    </w:lvl>
    <w:lvl w:ilvl="8" w:tplc="69345706">
      <w:numFmt w:val="bullet"/>
      <w:lvlText w:val="•"/>
      <w:lvlJc w:val="left"/>
      <w:pPr>
        <w:ind w:left="6845" w:hanging="360"/>
      </w:pPr>
      <w:rPr>
        <w:rFonts w:hint="default"/>
        <w:lang w:val="en-US" w:eastAsia="en-US" w:bidi="ar-SA"/>
      </w:rPr>
    </w:lvl>
  </w:abstractNum>
  <w:abstractNum w:abstractNumId="4" w15:restartNumberingAfterBreak="0">
    <w:nsid w:val="5A62240C"/>
    <w:multiLevelType w:val="hybridMultilevel"/>
    <w:tmpl w:val="2E84C32E"/>
    <w:lvl w:ilvl="0" w:tplc="2D6ABDF2">
      <w:start w:val="6"/>
      <w:numFmt w:val="decimal"/>
      <w:lvlText w:val="%1."/>
      <w:lvlJc w:val="left"/>
      <w:pPr>
        <w:ind w:left="727" w:hanging="360"/>
      </w:pPr>
      <w:rPr>
        <w:rFonts w:ascii="Calibri" w:eastAsia="Calibri" w:hAnsi="Calibri" w:cs="Calibri" w:hint="default"/>
        <w:b w:val="0"/>
        <w:bCs w:val="0"/>
        <w:i w:val="0"/>
        <w:iCs w:val="0"/>
        <w:spacing w:val="0"/>
        <w:w w:val="100"/>
        <w:sz w:val="22"/>
        <w:szCs w:val="22"/>
        <w:lang w:val="en-US" w:eastAsia="en-US" w:bidi="ar-SA"/>
      </w:rPr>
    </w:lvl>
    <w:lvl w:ilvl="1" w:tplc="7B6A0E7E">
      <w:start w:val="1"/>
      <w:numFmt w:val="lowerLetter"/>
      <w:lvlText w:val="%2."/>
      <w:lvlJc w:val="left"/>
      <w:pPr>
        <w:ind w:left="1447" w:hanging="360"/>
      </w:pPr>
      <w:rPr>
        <w:rFonts w:ascii="Calibri" w:eastAsia="Calibri" w:hAnsi="Calibri" w:cs="Calibri" w:hint="default"/>
        <w:b w:val="0"/>
        <w:bCs w:val="0"/>
        <w:i w:val="0"/>
        <w:iCs w:val="0"/>
        <w:spacing w:val="-1"/>
        <w:w w:val="100"/>
        <w:sz w:val="22"/>
        <w:szCs w:val="22"/>
        <w:lang w:val="en-US" w:eastAsia="en-US" w:bidi="ar-SA"/>
      </w:rPr>
    </w:lvl>
    <w:lvl w:ilvl="2" w:tplc="7B12CB18">
      <w:numFmt w:val="bullet"/>
      <w:lvlText w:val="•"/>
      <w:lvlJc w:val="left"/>
      <w:pPr>
        <w:ind w:left="2212" w:hanging="360"/>
      </w:pPr>
      <w:rPr>
        <w:rFonts w:hint="default"/>
        <w:lang w:val="en-US" w:eastAsia="en-US" w:bidi="ar-SA"/>
      </w:rPr>
    </w:lvl>
    <w:lvl w:ilvl="3" w:tplc="EF4A9436">
      <w:numFmt w:val="bullet"/>
      <w:lvlText w:val="•"/>
      <w:lvlJc w:val="left"/>
      <w:pPr>
        <w:ind w:left="2984" w:hanging="360"/>
      </w:pPr>
      <w:rPr>
        <w:rFonts w:hint="default"/>
        <w:lang w:val="en-US" w:eastAsia="en-US" w:bidi="ar-SA"/>
      </w:rPr>
    </w:lvl>
    <w:lvl w:ilvl="4" w:tplc="402EB5C4">
      <w:numFmt w:val="bullet"/>
      <w:lvlText w:val="•"/>
      <w:lvlJc w:val="left"/>
      <w:pPr>
        <w:ind w:left="3756" w:hanging="360"/>
      </w:pPr>
      <w:rPr>
        <w:rFonts w:hint="default"/>
        <w:lang w:val="en-US" w:eastAsia="en-US" w:bidi="ar-SA"/>
      </w:rPr>
    </w:lvl>
    <w:lvl w:ilvl="5" w:tplc="95686252">
      <w:numFmt w:val="bullet"/>
      <w:lvlText w:val="•"/>
      <w:lvlJc w:val="left"/>
      <w:pPr>
        <w:ind w:left="4528" w:hanging="360"/>
      </w:pPr>
      <w:rPr>
        <w:rFonts w:hint="default"/>
        <w:lang w:val="en-US" w:eastAsia="en-US" w:bidi="ar-SA"/>
      </w:rPr>
    </w:lvl>
    <w:lvl w:ilvl="6" w:tplc="48729C18">
      <w:numFmt w:val="bullet"/>
      <w:lvlText w:val="•"/>
      <w:lvlJc w:val="left"/>
      <w:pPr>
        <w:ind w:left="5301" w:hanging="360"/>
      </w:pPr>
      <w:rPr>
        <w:rFonts w:hint="default"/>
        <w:lang w:val="en-US" w:eastAsia="en-US" w:bidi="ar-SA"/>
      </w:rPr>
    </w:lvl>
    <w:lvl w:ilvl="7" w:tplc="B3E2856A">
      <w:numFmt w:val="bullet"/>
      <w:lvlText w:val="•"/>
      <w:lvlJc w:val="left"/>
      <w:pPr>
        <w:ind w:left="6073" w:hanging="360"/>
      </w:pPr>
      <w:rPr>
        <w:rFonts w:hint="default"/>
        <w:lang w:val="en-US" w:eastAsia="en-US" w:bidi="ar-SA"/>
      </w:rPr>
    </w:lvl>
    <w:lvl w:ilvl="8" w:tplc="9416AFA6">
      <w:numFmt w:val="bullet"/>
      <w:lvlText w:val="•"/>
      <w:lvlJc w:val="left"/>
      <w:pPr>
        <w:ind w:left="6845" w:hanging="360"/>
      </w:pPr>
      <w:rPr>
        <w:rFonts w:hint="default"/>
        <w:lang w:val="en-US" w:eastAsia="en-US" w:bidi="ar-SA"/>
      </w:rPr>
    </w:lvl>
  </w:abstractNum>
  <w:abstractNum w:abstractNumId="5" w15:restartNumberingAfterBreak="0">
    <w:nsid w:val="607A7F86"/>
    <w:multiLevelType w:val="hybridMultilevel"/>
    <w:tmpl w:val="8C7C0044"/>
    <w:lvl w:ilvl="0" w:tplc="8A22BE46">
      <w:start w:val="1"/>
      <w:numFmt w:val="decimal"/>
      <w:lvlText w:val="%1."/>
      <w:lvlJc w:val="left"/>
      <w:pPr>
        <w:ind w:left="720" w:hanging="360"/>
      </w:pPr>
      <w:rPr>
        <w:b/>
        <w:bCs/>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318759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6632668">
    <w:abstractNumId w:val="4"/>
  </w:num>
  <w:num w:numId="3" w16cid:durableId="1646349516">
    <w:abstractNumId w:val="3"/>
  </w:num>
  <w:num w:numId="4" w16cid:durableId="1355229231">
    <w:abstractNumId w:val="0"/>
  </w:num>
  <w:num w:numId="5" w16cid:durableId="1949728089">
    <w:abstractNumId w:val="2"/>
  </w:num>
  <w:num w:numId="6" w16cid:durableId="587275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F"/>
    <w:rsid w:val="00035570"/>
    <w:rsid w:val="000C30B0"/>
    <w:rsid w:val="000E4C0D"/>
    <w:rsid w:val="0016064A"/>
    <w:rsid w:val="00164ECF"/>
    <w:rsid w:val="001B175E"/>
    <w:rsid w:val="002746FB"/>
    <w:rsid w:val="002816A2"/>
    <w:rsid w:val="002F431C"/>
    <w:rsid w:val="00411047"/>
    <w:rsid w:val="00414485"/>
    <w:rsid w:val="0052174D"/>
    <w:rsid w:val="005314FE"/>
    <w:rsid w:val="0055752A"/>
    <w:rsid w:val="005800B1"/>
    <w:rsid w:val="005D6BD1"/>
    <w:rsid w:val="00693784"/>
    <w:rsid w:val="006E7852"/>
    <w:rsid w:val="007628BC"/>
    <w:rsid w:val="007827DD"/>
    <w:rsid w:val="007B091A"/>
    <w:rsid w:val="007F670E"/>
    <w:rsid w:val="008D7B91"/>
    <w:rsid w:val="009F4EC1"/>
    <w:rsid w:val="009F7ED4"/>
    <w:rsid w:val="00A37860"/>
    <w:rsid w:val="00A84236"/>
    <w:rsid w:val="00BD0B2C"/>
    <w:rsid w:val="00BD53E1"/>
    <w:rsid w:val="00C50166"/>
    <w:rsid w:val="00C82F23"/>
    <w:rsid w:val="00D12246"/>
    <w:rsid w:val="00D2526F"/>
    <w:rsid w:val="00DB659C"/>
    <w:rsid w:val="00DC7C1A"/>
    <w:rsid w:val="00EF66C5"/>
    <w:rsid w:val="00F00A0B"/>
    <w:rsid w:val="00F2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562E"/>
  <w15:chartTrackingRefBased/>
  <w15:docId w15:val="{36AFE7B3-1579-40A8-838F-DEA591D4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ECF"/>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164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E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E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E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E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ECF"/>
    <w:rPr>
      <w:rFonts w:eastAsiaTheme="majorEastAsia" w:cstheme="majorBidi"/>
      <w:color w:val="272727" w:themeColor="text1" w:themeTint="D8"/>
    </w:rPr>
  </w:style>
  <w:style w:type="paragraph" w:styleId="Title">
    <w:name w:val="Title"/>
    <w:basedOn w:val="Normal"/>
    <w:next w:val="Normal"/>
    <w:link w:val="TitleChar"/>
    <w:uiPriority w:val="10"/>
    <w:qFormat/>
    <w:rsid w:val="00164E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ECF"/>
    <w:pPr>
      <w:spacing w:before="160"/>
      <w:jc w:val="center"/>
    </w:pPr>
    <w:rPr>
      <w:i/>
      <w:iCs/>
      <w:color w:val="404040" w:themeColor="text1" w:themeTint="BF"/>
    </w:rPr>
  </w:style>
  <w:style w:type="character" w:customStyle="1" w:styleId="QuoteChar">
    <w:name w:val="Quote Char"/>
    <w:basedOn w:val="DefaultParagraphFont"/>
    <w:link w:val="Quote"/>
    <w:uiPriority w:val="29"/>
    <w:rsid w:val="00164ECF"/>
    <w:rPr>
      <w:i/>
      <w:iCs/>
      <w:color w:val="404040" w:themeColor="text1" w:themeTint="BF"/>
    </w:rPr>
  </w:style>
  <w:style w:type="paragraph" w:styleId="ListParagraph">
    <w:name w:val="List Paragraph"/>
    <w:basedOn w:val="Normal"/>
    <w:uiPriority w:val="34"/>
    <w:qFormat/>
    <w:rsid w:val="00164ECF"/>
    <w:pPr>
      <w:ind w:left="720"/>
      <w:contextualSpacing/>
    </w:pPr>
  </w:style>
  <w:style w:type="character" w:styleId="IntenseEmphasis">
    <w:name w:val="Intense Emphasis"/>
    <w:basedOn w:val="DefaultParagraphFont"/>
    <w:uiPriority w:val="21"/>
    <w:qFormat/>
    <w:rsid w:val="00164ECF"/>
    <w:rPr>
      <w:i/>
      <w:iCs/>
      <w:color w:val="0F4761" w:themeColor="accent1" w:themeShade="BF"/>
    </w:rPr>
  </w:style>
  <w:style w:type="paragraph" w:styleId="IntenseQuote">
    <w:name w:val="Intense Quote"/>
    <w:basedOn w:val="Normal"/>
    <w:next w:val="Normal"/>
    <w:link w:val="IntenseQuoteChar"/>
    <w:uiPriority w:val="30"/>
    <w:qFormat/>
    <w:rsid w:val="00164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ECF"/>
    <w:rPr>
      <w:i/>
      <w:iCs/>
      <w:color w:val="0F4761" w:themeColor="accent1" w:themeShade="BF"/>
    </w:rPr>
  </w:style>
  <w:style w:type="character" w:styleId="IntenseReference">
    <w:name w:val="Intense Reference"/>
    <w:basedOn w:val="DefaultParagraphFont"/>
    <w:uiPriority w:val="32"/>
    <w:qFormat/>
    <w:rsid w:val="00164ECF"/>
    <w:rPr>
      <w:b/>
      <w:bCs/>
      <w:smallCaps/>
      <w:color w:val="0F4761" w:themeColor="accent1" w:themeShade="BF"/>
      <w:spacing w:val="5"/>
    </w:rPr>
  </w:style>
  <w:style w:type="paragraph" w:styleId="BodyText">
    <w:name w:val="Body Text"/>
    <w:basedOn w:val="Normal"/>
    <w:link w:val="BodyTextChar"/>
    <w:uiPriority w:val="1"/>
    <w:qFormat/>
    <w:rsid w:val="00164ECF"/>
  </w:style>
  <w:style w:type="character" w:customStyle="1" w:styleId="BodyTextChar">
    <w:name w:val="Body Text Char"/>
    <w:basedOn w:val="DefaultParagraphFont"/>
    <w:link w:val="BodyText"/>
    <w:uiPriority w:val="1"/>
    <w:rsid w:val="00164ECF"/>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164ECF"/>
    <w:pPr>
      <w:spacing w:line="268" w:lineRule="exact"/>
      <w:ind w:left="6"/>
    </w:pPr>
  </w:style>
  <w:style w:type="character" w:customStyle="1" w:styleId="whitespace-normal">
    <w:name w:val="whitespace-normal"/>
    <w:basedOn w:val="DefaultParagraphFont"/>
    <w:rsid w:val="007F670E"/>
  </w:style>
  <w:style w:type="character" w:styleId="BookTitle">
    <w:name w:val="Book Title"/>
    <w:basedOn w:val="DefaultParagraphFont"/>
    <w:uiPriority w:val="33"/>
    <w:qFormat/>
    <w:rsid w:val="005D6BD1"/>
    <w:rPr>
      <w:b/>
      <w:bCs/>
      <w:i/>
      <w:iCs/>
      <w:spacing w:val="5"/>
    </w:rPr>
  </w:style>
  <w:style w:type="paragraph" w:styleId="NormalWeb">
    <w:name w:val="Normal (Web)"/>
    <w:basedOn w:val="Normal"/>
    <w:uiPriority w:val="99"/>
    <w:semiHidden/>
    <w:unhideWhenUsed/>
    <w:rsid w:val="007827D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Bennett</dc:creator>
  <cp:keywords/>
  <dc:description/>
  <cp:lastModifiedBy>Bryan Bennett</cp:lastModifiedBy>
  <cp:revision>2</cp:revision>
  <dcterms:created xsi:type="dcterms:W3CDTF">2026-06-03T18:41:00Z</dcterms:created>
  <dcterms:modified xsi:type="dcterms:W3CDTF">2026-06-03T18:41:00Z</dcterms:modified>
</cp:coreProperties>
</file>