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180" w:type="dxa"/>
        <w:tblInd w:w="-544" w:type="dxa"/>
        <w:tblCellMar>
          <w:top w:w="10" w:type="dxa"/>
          <w:left w:w="26" w:type="dxa"/>
          <w:bottom w:w="0" w:type="dxa"/>
          <w:right w:w="328" w:type="dxa"/>
        </w:tblCellMar>
        <w:tblLook w:val="04A0" w:firstRow="1" w:lastRow="0" w:firstColumn="1" w:lastColumn="0" w:noHBand="0" w:noVBand="1"/>
      </w:tblPr>
      <w:tblGrid>
        <w:gridCol w:w="4612"/>
        <w:gridCol w:w="6568"/>
      </w:tblGrid>
      <w:tr w:rsidR="00284543" w14:paraId="04C9170E" w14:textId="77777777">
        <w:trPr>
          <w:trHeight w:val="290"/>
        </w:trPr>
        <w:tc>
          <w:tcPr>
            <w:tcW w:w="11180" w:type="dxa"/>
            <w:gridSpan w:val="2"/>
            <w:vMerge w:val="restart"/>
            <w:tcBorders>
              <w:top w:val="nil"/>
              <w:left w:val="single" w:sz="2" w:space="0" w:color="000000"/>
              <w:bottom w:val="nil"/>
              <w:right w:val="nil"/>
            </w:tcBorders>
          </w:tcPr>
          <w:p w14:paraId="4F170ECD" w14:textId="77777777" w:rsidR="00284543" w:rsidRDefault="00671D17">
            <w:pPr>
              <w:spacing w:after="15"/>
              <w:ind w:left="532"/>
            </w:pPr>
            <w:r>
              <w:rPr>
                <w:noProof/>
              </w:rPr>
              <w:drawing>
                <wp:inline distT="0" distB="0" distL="0" distR="0" wp14:anchorId="55CE49A1" wp14:editId="65EB99B3">
                  <wp:extent cx="5985535" cy="199039"/>
                  <wp:effectExtent l="0" t="0" r="0" b="0"/>
                  <wp:docPr id="29378" name="Picture 29378"/>
                  <wp:cNvGraphicFramePr/>
                  <a:graphic xmlns:a="http://schemas.openxmlformats.org/drawingml/2006/main">
                    <a:graphicData uri="http://schemas.openxmlformats.org/drawingml/2006/picture">
                      <pic:pic xmlns:pic="http://schemas.openxmlformats.org/drawingml/2006/picture">
                        <pic:nvPicPr>
                          <pic:cNvPr id="29378" name="Picture 29378"/>
                          <pic:cNvPicPr/>
                        </pic:nvPicPr>
                        <pic:blipFill>
                          <a:blip r:embed="rId5"/>
                          <a:stretch>
                            <a:fillRect/>
                          </a:stretch>
                        </pic:blipFill>
                        <pic:spPr>
                          <a:xfrm>
                            <a:off x="0" y="0"/>
                            <a:ext cx="5985535" cy="199039"/>
                          </a:xfrm>
                          <a:prstGeom prst="rect">
                            <a:avLst/>
                          </a:prstGeom>
                        </pic:spPr>
                      </pic:pic>
                    </a:graphicData>
                  </a:graphic>
                </wp:inline>
              </w:drawing>
            </w:r>
          </w:p>
          <w:p w14:paraId="429FBAAB" w14:textId="77777777" w:rsidR="00284543" w:rsidRDefault="00671D17">
            <w:pPr>
              <w:spacing w:after="0"/>
              <w:ind w:left="525"/>
            </w:pPr>
            <w:r>
              <w:rPr>
                <w:noProof/>
              </w:rPr>
              <mc:AlternateContent>
                <mc:Choice Requires="wpg">
                  <w:drawing>
                    <wp:inline distT="0" distB="0" distL="0" distR="0" wp14:anchorId="1A745DAB" wp14:editId="7D3A2356">
                      <wp:extent cx="4323658" cy="365676"/>
                      <wp:effectExtent l="0" t="0" r="0" b="0"/>
                      <wp:docPr id="27913" name="Group 27913"/>
                      <wp:cNvGraphicFramePr/>
                      <a:graphic xmlns:a="http://schemas.openxmlformats.org/drawingml/2006/main">
                        <a:graphicData uri="http://schemas.microsoft.com/office/word/2010/wordprocessingGroup">
                          <wpg:wgp>
                            <wpg:cNvGrpSpPr/>
                            <wpg:grpSpPr>
                              <a:xfrm>
                                <a:off x="0" y="0"/>
                                <a:ext cx="4323658" cy="365676"/>
                                <a:chOff x="0" y="0"/>
                                <a:chExt cx="4323658" cy="365676"/>
                              </a:xfrm>
                            </wpg:grpSpPr>
                            <pic:pic xmlns:pic="http://schemas.openxmlformats.org/drawingml/2006/picture">
                              <pic:nvPicPr>
                                <pic:cNvPr id="29380" name="Picture 29380"/>
                                <pic:cNvPicPr/>
                              </pic:nvPicPr>
                              <pic:blipFill>
                                <a:blip r:embed="rId6"/>
                                <a:stretch>
                                  <a:fillRect/>
                                </a:stretch>
                              </pic:blipFill>
                              <pic:spPr>
                                <a:xfrm>
                                  <a:off x="4629" y="18515"/>
                                  <a:ext cx="4319029" cy="347161"/>
                                </a:xfrm>
                                <a:prstGeom prst="rect">
                                  <a:avLst/>
                                </a:prstGeom>
                              </pic:spPr>
                            </pic:pic>
                            <wps:wsp>
                              <wps:cNvPr id="16" name="Rectangle 16"/>
                              <wps:cNvSpPr/>
                              <wps:spPr>
                                <a:xfrm>
                                  <a:off x="9258" y="0"/>
                                  <a:ext cx="634152" cy="190846"/>
                                </a:xfrm>
                                <a:prstGeom prst="rect">
                                  <a:avLst/>
                                </a:prstGeom>
                                <a:ln>
                                  <a:noFill/>
                                </a:ln>
                              </wps:spPr>
                              <wps:txbx>
                                <w:txbxContent>
                                  <w:p w14:paraId="457DD705" w14:textId="77777777" w:rsidR="00284543" w:rsidRDefault="00671D17">
                                    <w:r>
                                      <w:rPr>
                                        <w:sz w:val="28"/>
                                      </w:rPr>
                                      <w:t xml:space="preserve">Please </w:t>
                                    </w:r>
                                  </w:p>
                                </w:txbxContent>
                              </wps:txbx>
                              <wps:bodyPr horzOverflow="overflow" vert="horz" lIns="0" tIns="0" rIns="0" bIns="0" rtlCol="0">
                                <a:noAutofit/>
                              </wps:bodyPr>
                            </wps:wsp>
                            <wps:wsp>
                              <wps:cNvPr id="17" name="Rectangle 17"/>
                              <wps:cNvSpPr/>
                              <wps:spPr>
                                <a:xfrm>
                                  <a:off x="486064" y="4629"/>
                                  <a:ext cx="371269" cy="184689"/>
                                </a:xfrm>
                                <a:prstGeom prst="rect">
                                  <a:avLst/>
                                </a:prstGeom>
                                <a:ln>
                                  <a:noFill/>
                                </a:ln>
                              </wps:spPr>
                              <wps:txbx>
                                <w:txbxContent>
                                  <w:p w14:paraId="523EBAC2" w14:textId="77777777" w:rsidR="00284543" w:rsidRDefault="00671D17">
                                    <w:r>
                                      <w:rPr>
                                        <w:sz w:val="24"/>
                                      </w:rPr>
                                      <w:t xml:space="preserve">join </w:t>
                                    </w:r>
                                  </w:p>
                                </w:txbxContent>
                              </wps:txbx>
                              <wps:bodyPr horzOverflow="overflow" vert="horz" lIns="0" tIns="0" rIns="0" bIns="0" rtlCol="0">
                                <a:noAutofit/>
                              </wps:bodyPr>
                            </wps:wsp>
                            <wps:wsp>
                              <wps:cNvPr id="18" name="Rectangle 18"/>
                              <wps:cNvSpPr/>
                              <wps:spPr>
                                <a:xfrm>
                                  <a:off x="773074" y="0"/>
                                  <a:ext cx="246273" cy="190846"/>
                                </a:xfrm>
                                <a:prstGeom prst="rect">
                                  <a:avLst/>
                                </a:prstGeom>
                                <a:ln>
                                  <a:noFill/>
                                </a:ln>
                              </wps:spPr>
                              <wps:txbx>
                                <w:txbxContent>
                                  <w:p w14:paraId="5ABFBD2A" w14:textId="77777777" w:rsidR="00284543" w:rsidRDefault="00671D17">
                                    <w:r>
                                      <w:rPr>
                                        <w:sz w:val="28"/>
                                      </w:rPr>
                                      <w:t xml:space="preserve">us </w:t>
                                    </w:r>
                                  </w:p>
                                </w:txbxContent>
                              </wps:txbx>
                              <wps:bodyPr horzOverflow="overflow" vert="horz" lIns="0" tIns="0" rIns="0" bIns="0" rtlCol="0">
                                <a:noAutofit/>
                              </wps:bodyPr>
                            </wps:wsp>
                            <wps:wsp>
                              <wps:cNvPr id="19" name="Rectangle 19"/>
                              <wps:cNvSpPr/>
                              <wps:spPr>
                                <a:xfrm>
                                  <a:off x="958241" y="0"/>
                                  <a:ext cx="240116" cy="184689"/>
                                </a:xfrm>
                                <a:prstGeom prst="rect">
                                  <a:avLst/>
                                </a:prstGeom>
                                <a:ln>
                                  <a:noFill/>
                                </a:ln>
                              </wps:spPr>
                              <wps:txbx>
                                <w:txbxContent>
                                  <w:p w14:paraId="1EA7F7F1" w14:textId="77777777" w:rsidR="00284543" w:rsidRDefault="00671D17">
                                    <w:r>
                                      <w:rPr>
                                        <w:sz w:val="26"/>
                                      </w:rPr>
                                      <w:t>for</w:t>
                                    </w:r>
                                  </w:p>
                                </w:txbxContent>
                              </wps:txbx>
                              <wps:bodyPr horzOverflow="overflow" vert="horz" lIns="0" tIns="0" rIns="0" bIns="0" rtlCol="0">
                                <a:noAutofit/>
                              </wps:bodyPr>
                            </wps:wsp>
                          </wpg:wgp>
                        </a:graphicData>
                      </a:graphic>
                    </wp:inline>
                  </w:drawing>
                </mc:Choice>
                <mc:Fallback xmlns:a="http://schemas.openxmlformats.org/drawingml/2006/main">
                  <w:pict>
                    <v:group id="Group 27913" style="width:340.445pt;height:28.7934pt;mso-position-horizontal-relative:char;mso-position-vertical-relative:line" coordsize="43236,3656">
                      <v:shape id="Picture 29380" style="position:absolute;width:43190;height:3471;left:46;top:185;" filled="f">
                        <v:imagedata r:id="rId7"/>
                      </v:shape>
                      <v:rect id="Rectangle 16" style="position:absolute;width:6341;height:1908;left:92;top:0;" filled="f" stroked="f">
                        <v:textbox inset="0,0,0,0">
                          <w:txbxContent>
                            <w:p>
                              <w:pPr>
                                <w:spacing w:before="0" w:after="160" w:line="259" w:lineRule="auto"/>
                              </w:pPr>
                              <w:r>
                                <w:rPr>
                                  <w:sz w:val="28"/>
                                </w:rPr>
                                <w:t xml:space="preserve">Please </w:t>
                              </w:r>
                            </w:p>
                          </w:txbxContent>
                        </v:textbox>
                      </v:rect>
                      <v:rect id="Rectangle 17" style="position:absolute;width:3712;height:1846;left:4860;top:46;" filled="f" stroked="f">
                        <v:textbox inset="0,0,0,0">
                          <w:txbxContent>
                            <w:p>
                              <w:pPr>
                                <w:spacing w:before="0" w:after="160" w:line="259" w:lineRule="auto"/>
                              </w:pPr>
                              <w:r>
                                <w:rPr>
                                  <w:sz w:val="24"/>
                                </w:rPr>
                                <w:t xml:space="preserve">join </w:t>
                              </w:r>
                            </w:p>
                          </w:txbxContent>
                        </v:textbox>
                      </v:rect>
                      <v:rect id="Rectangle 18" style="position:absolute;width:2462;height:1908;left:7730;top:0;" filled="f" stroked="f">
                        <v:textbox inset="0,0,0,0">
                          <w:txbxContent>
                            <w:p>
                              <w:pPr>
                                <w:spacing w:before="0" w:after="160" w:line="259" w:lineRule="auto"/>
                              </w:pPr>
                              <w:r>
                                <w:rPr>
                                  <w:sz w:val="28"/>
                                </w:rPr>
                                <w:t xml:space="preserve">us </w:t>
                              </w:r>
                            </w:p>
                          </w:txbxContent>
                        </v:textbox>
                      </v:rect>
                      <v:rect id="Rectangle 19" style="position:absolute;width:2401;height:1846;left:9582;top:0;" filled="f" stroked="f">
                        <v:textbox inset="0,0,0,0">
                          <w:txbxContent>
                            <w:p>
                              <w:pPr>
                                <w:spacing w:before="0" w:after="160" w:line="259" w:lineRule="auto"/>
                              </w:pPr>
                              <w:r>
                                <w:rPr>
                                  <w:sz w:val="26"/>
                                </w:rPr>
                                <w:t xml:space="preserve">for</w:t>
                              </w:r>
                            </w:p>
                          </w:txbxContent>
                        </v:textbox>
                      </v:rect>
                    </v:group>
                  </w:pict>
                </mc:Fallback>
              </mc:AlternateContent>
            </w:r>
          </w:p>
        </w:tc>
      </w:tr>
      <w:tr w:rsidR="00284543" w14:paraId="00C2C6D8" w14:textId="77777777">
        <w:trPr>
          <w:trHeight w:val="450"/>
        </w:trPr>
        <w:tc>
          <w:tcPr>
            <w:tcW w:w="0" w:type="auto"/>
            <w:gridSpan w:val="2"/>
            <w:vMerge/>
            <w:tcBorders>
              <w:top w:val="nil"/>
              <w:left w:val="single" w:sz="2" w:space="0" w:color="000000"/>
              <w:bottom w:val="nil"/>
              <w:right w:val="nil"/>
            </w:tcBorders>
          </w:tcPr>
          <w:p w14:paraId="31861AE6" w14:textId="77777777" w:rsidR="00284543" w:rsidRDefault="00284543"/>
        </w:tc>
      </w:tr>
      <w:tr w:rsidR="00284543" w14:paraId="4B038F25" w14:textId="77777777">
        <w:trPr>
          <w:trHeight w:val="450"/>
        </w:trPr>
        <w:tc>
          <w:tcPr>
            <w:tcW w:w="0" w:type="auto"/>
            <w:gridSpan w:val="2"/>
            <w:vMerge/>
            <w:tcBorders>
              <w:top w:val="nil"/>
              <w:left w:val="single" w:sz="2" w:space="0" w:color="000000"/>
              <w:bottom w:val="nil"/>
              <w:right w:val="nil"/>
            </w:tcBorders>
          </w:tcPr>
          <w:p w14:paraId="4B53056A" w14:textId="77777777" w:rsidR="00284543" w:rsidRDefault="00284543"/>
        </w:tc>
      </w:tr>
      <w:tr w:rsidR="00284543" w14:paraId="65B1F657" w14:textId="77777777">
        <w:trPr>
          <w:trHeight w:val="322"/>
        </w:trPr>
        <w:tc>
          <w:tcPr>
            <w:tcW w:w="11180" w:type="dxa"/>
            <w:gridSpan w:val="2"/>
            <w:tcBorders>
              <w:top w:val="nil"/>
              <w:left w:val="single" w:sz="2" w:space="0" w:color="000000"/>
              <w:bottom w:val="nil"/>
              <w:right w:val="nil"/>
            </w:tcBorders>
          </w:tcPr>
          <w:p w14:paraId="6297695D" w14:textId="77777777" w:rsidR="00284543" w:rsidRDefault="00671D17">
            <w:pPr>
              <w:spacing w:after="0"/>
              <w:ind w:left="576"/>
            </w:pPr>
            <w:r>
              <w:rPr>
                <w:noProof/>
              </w:rPr>
              <w:drawing>
                <wp:inline distT="0" distB="0" distL="0" distR="0" wp14:anchorId="3A6A9F9D" wp14:editId="277A302A">
                  <wp:extent cx="1536889" cy="152751"/>
                  <wp:effectExtent l="0" t="0" r="0" b="0"/>
                  <wp:docPr id="4387" name="Picture 4387"/>
                  <wp:cNvGraphicFramePr/>
                  <a:graphic xmlns:a="http://schemas.openxmlformats.org/drawingml/2006/main">
                    <a:graphicData uri="http://schemas.openxmlformats.org/drawingml/2006/picture">
                      <pic:pic xmlns:pic="http://schemas.openxmlformats.org/drawingml/2006/picture">
                        <pic:nvPicPr>
                          <pic:cNvPr id="4387" name="Picture 4387"/>
                          <pic:cNvPicPr/>
                        </pic:nvPicPr>
                        <pic:blipFill>
                          <a:blip r:embed="rId8"/>
                          <a:stretch>
                            <a:fillRect/>
                          </a:stretch>
                        </pic:blipFill>
                        <pic:spPr>
                          <a:xfrm>
                            <a:off x="0" y="0"/>
                            <a:ext cx="1536889" cy="152751"/>
                          </a:xfrm>
                          <a:prstGeom prst="rect">
                            <a:avLst/>
                          </a:prstGeom>
                        </pic:spPr>
                      </pic:pic>
                    </a:graphicData>
                  </a:graphic>
                </wp:inline>
              </w:drawing>
            </w:r>
          </w:p>
        </w:tc>
      </w:tr>
      <w:tr w:rsidR="00284543" w14:paraId="3D7AB39C" w14:textId="77777777">
        <w:trPr>
          <w:trHeight w:val="1410"/>
        </w:trPr>
        <w:tc>
          <w:tcPr>
            <w:tcW w:w="4612" w:type="dxa"/>
            <w:tcBorders>
              <w:top w:val="nil"/>
              <w:left w:val="nil"/>
              <w:bottom w:val="nil"/>
              <w:right w:val="single" w:sz="2" w:space="0" w:color="000000"/>
            </w:tcBorders>
            <w:vAlign w:val="bottom"/>
          </w:tcPr>
          <w:p w14:paraId="77445479" w14:textId="77777777" w:rsidR="00284543" w:rsidRDefault="00671D17">
            <w:pPr>
              <w:spacing w:after="73"/>
            </w:pPr>
            <w:r>
              <w:rPr>
                <w:noProof/>
              </w:rPr>
              <w:drawing>
                <wp:inline distT="0" distB="0" distL="0" distR="0" wp14:anchorId="159684D7" wp14:editId="4A72EDD1">
                  <wp:extent cx="2550680" cy="407335"/>
                  <wp:effectExtent l="0" t="0" r="0" b="0"/>
                  <wp:docPr id="4461" name="Picture 4461"/>
                  <wp:cNvGraphicFramePr/>
                  <a:graphic xmlns:a="http://schemas.openxmlformats.org/drawingml/2006/main">
                    <a:graphicData uri="http://schemas.openxmlformats.org/drawingml/2006/picture">
                      <pic:pic xmlns:pic="http://schemas.openxmlformats.org/drawingml/2006/picture">
                        <pic:nvPicPr>
                          <pic:cNvPr id="4461" name="Picture 4461"/>
                          <pic:cNvPicPr/>
                        </pic:nvPicPr>
                        <pic:blipFill>
                          <a:blip r:embed="rId9"/>
                          <a:stretch>
                            <a:fillRect/>
                          </a:stretch>
                        </pic:blipFill>
                        <pic:spPr>
                          <a:xfrm>
                            <a:off x="0" y="0"/>
                            <a:ext cx="2550680" cy="407335"/>
                          </a:xfrm>
                          <a:prstGeom prst="rect">
                            <a:avLst/>
                          </a:prstGeom>
                        </pic:spPr>
                      </pic:pic>
                    </a:graphicData>
                  </a:graphic>
                </wp:inline>
              </w:drawing>
            </w:r>
          </w:p>
          <w:p w14:paraId="1369A33D" w14:textId="77777777" w:rsidR="00284543" w:rsidRDefault="00671D17">
            <w:pPr>
              <w:spacing w:after="0"/>
              <w:ind w:left="518"/>
              <w:jc w:val="center"/>
            </w:pPr>
            <w:proofErr w:type="spellStart"/>
            <w:r>
              <w:rPr>
                <w:sz w:val="32"/>
              </w:rPr>
              <w:t>datopotamab</w:t>
            </w:r>
            <w:proofErr w:type="spellEnd"/>
            <w:r>
              <w:rPr>
                <w:sz w:val="32"/>
              </w:rPr>
              <w:t xml:space="preserve"> deruxtecan-</w:t>
            </w:r>
            <w:proofErr w:type="spellStart"/>
            <w:r>
              <w:rPr>
                <w:sz w:val="32"/>
              </w:rPr>
              <w:t>dlnk</w:t>
            </w:r>
            <w:proofErr w:type="spellEnd"/>
          </w:p>
          <w:p w14:paraId="56A8299C" w14:textId="77777777" w:rsidR="00284543" w:rsidRDefault="00671D17">
            <w:pPr>
              <w:spacing w:after="0"/>
              <w:ind w:left="532"/>
            </w:pPr>
            <w:r>
              <w:t>20 mg/ml INJECTION FOR INTRAVENOUS USE</w:t>
            </w:r>
          </w:p>
        </w:tc>
        <w:tc>
          <w:tcPr>
            <w:tcW w:w="6568" w:type="dxa"/>
            <w:tcBorders>
              <w:top w:val="nil"/>
              <w:left w:val="nil"/>
              <w:bottom w:val="nil"/>
              <w:right w:val="nil"/>
            </w:tcBorders>
            <w:vAlign w:val="bottom"/>
          </w:tcPr>
          <w:p w14:paraId="0C512655" w14:textId="77777777" w:rsidR="00284543" w:rsidRDefault="00671D17">
            <w:pPr>
              <w:spacing w:after="0"/>
              <w:ind w:left="185"/>
            </w:pPr>
            <w:r>
              <w:rPr>
                <w:sz w:val="30"/>
              </w:rPr>
              <w:t>An Approved Trop2-Directed ADC for</w:t>
            </w:r>
          </w:p>
          <w:p w14:paraId="20384A7F" w14:textId="77777777" w:rsidR="00284543" w:rsidRDefault="00671D17">
            <w:pPr>
              <w:spacing w:after="0" w:line="216" w:lineRule="auto"/>
              <w:ind w:left="200" w:hanging="15"/>
              <w:jc w:val="both"/>
            </w:pPr>
            <w:r>
              <w:rPr>
                <w:sz w:val="30"/>
              </w:rPr>
              <w:t>Adults With Previously Treated HR+/</w:t>
            </w:r>
            <w:proofErr w:type="gramStart"/>
            <w:r>
              <w:rPr>
                <w:sz w:val="30"/>
              </w:rPr>
              <w:t>HER2— (</w:t>
            </w:r>
            <w:proofErr w:type="gramEnd"/>
            <w:r>
              <w:rPr>
                <w:sz w:val="30"/>
              </w:rPr>
              <w:t>IHC O, IHC 1+ or IHC 2+11SH-) Metastatic</w:t>
            </w:r>
          </w:p>
          <w:p w14:paraId="2A8EA5C8" w14:textId="77777777" w:rsidR="00284543" w:rsidRDefault="00671D17">
            <w:pPr>
              <w:spacing w:after="0"/>
              <w:ind w:left="200"/>
            </w:pPr>
            <w:r>
              <w:rPr>
                <w:sz w:val="34"/>
              </w:rPr>
              <w:t>Breast Cancer</w:t>
            </w:r>
          </w:p>
        </w:tc>
      </w:tr>
    </w:tbl>
    <w:p w14:paraId="27494C3A" w14:textId="77777777" w:rsidR="00284543" w:rsidRDefault="00671D17">
      <w:pPr>
        <w:spacing w:after="356"/>
        <w:ind w:left="7" w:right="-44"/>
      </w:pPr>
      <w:r>
        <w:rPr>
          <w:noProof/>
        </w:rPr>
        <mc:AlternateContent>
          <mc:Choice Requires="wpg">
            <w:drawing>
              <wp:inline distT="0" distB="0" distL="0" distR="0" wp14:anchorId="361A503B" wp14:editId="2A84B117">
                <wp:extent cx="6397532" cy="18515"/>
                <wp:effectExtent l="0" t="0" r="0" b="0"/>
                <wp:docPr id="29382" name="Group 29382"/>
                <wp:cNvGraphicFramePr/>
                <a:graphic xmlns:a="http://schemas.openxmlformats.org/drawingml/2006/main">
                  <a:graphicData uri="http://schemas.microsoft.com/office/word/2010/wordprocessingGroup">
                    <wpg:wgp>
                      <wpg:cNvGrpSpPr/>
                      <wpg:grpSpPr>
                        <a:xfrm>
                          <a:off x="0" y="0"/>
                          <a:ext cx="6397532" cy="18515"/>
                          <a:chOff x="0" y="0"/>
                          <a:chExt cx="6397532" cy="18515"/>
                        </a:xfrm>
                      </wpg:grpSpPr>
                      <wps:wsp>
                        <wps:cNvPr id="29381" name="Shape 29381"/>
                        <wps:cNvSpPr/>
                        <wps:spPr>
                          <a:xfrm>
                            <a:off x="0" y="0"/>
                            <a:ext cx="6397532" cy="18515"/>
                          </a:xfrm>
                          <a:custGeom>
                            <a:avLst/>
                            <a:gdLst/>
                            <a:ahLst/>
                            <a:cxnLst/>
                            <a:rect l="0" t="0" r="0" b="0"/>
                            <a:pathLst>
                              <a:path w="6397532" h="18515">
                                <a:moveTo>
                                  <a:pt x="0" y="9258"/>
                                </a:moveTo>
                                <a:lnTo>
                                  <a:pt x="6397532" y="9258"/>
                                </a:lnTo>
                              </a:path>
                            </a:pathLst>
                          </a:custGeom>
                          <a:ln w="1851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9382" style="width:503.743pt;height:1.45789pt;mso-position-horizontal-relative:char;mso-position-vertical-relative:line" coordsize="63975,185">
                <v:shape id="Shape 29381" style="position:absolute;width:63975;height:185;left:0;top:0;" coordsize="6397532,18515" path="m0,9258l6397532,9258">
                  <v:stroke weight="1.45789pt" endcap="flat" joinstyle="miter" miterlimit="1" on="true" color="#000000"/>
                  <v:fill on="false" color="#000000"/>
                </v:shape>
              </v:group>
            </w:pict>
          </mc:Fallback>
        </mc:AlternateContent>
      </w:r>
    </w:p>
    <w:p w14:paraId="41FE1DC5" w14:textId="77777777" w:rsidR="00284543" w:rsidRDefault="00671D17">
      <w:pPr>
        <w:spacing w:after="0" w:line="216" w:lineRule="auto"/>
        <w:ind w:left="7" w:right="2931"/>
      </w:pPr>
      <w:r>
        <w:rPr>
          <w:sz w:val="24"/>
        </w:rPr>
        <w:t>On behalf of Daiichi Sankyo, Inc. and AstraZeneca, we cordially invite you to join us for an informative discussion.</w:t>
      </w:r>
    </w:p>
    <w:p w14:paraId="4CC8DA18" w14:textId="77777777" w:rsidR="00284543" w:rsidRDefault="00671D17">
      <w:pPr>
        <w:spacing w:after="317" w:line="218" w:lineRule="auto"/>
        <w:ind w:right="21" w:firstLine="5"/>
      </w:pPr>
      <w:r>
        <w:rPr>
          <w:sz w:val="18"/>
        </w:rPr>
        <w:t xml:space="preserve">Join your peers to learn about </w:t>
      </w:r>
      <w:proofErr w:type="gramStart"/>
      <w:r>
        <w:rPr>
          <w:sz w:val="18"/>
        </w:rPr>
        <w:t>DATROWAY@,</w:t>
      </w:r>
      <w:proofErr w:type="gramEnd"/>
      <w:r>
        <w:rPr>
          <w:sz w:val="18"/>
        </w:rPr>
        <w:t xml:space="preserve"> an approved Trop2-directed antibody and topoisomerase inhibitor conjugate with demonstrated efficacy and safety in adult patients with unresectable or metastatic HR+/</w:t>
      </w:r>
      <w:proofErr w:type="gramStart"/>
      <w:r>
        <w:rPr>
          <w:sz w:val="18"/>
        </w:rPr>
        <w:t>HER2— (</w:t>
      </w:r>
      <w:proofErr w:type="gramEnd"/>
      <w:r>
        <w:rPr>
          <w:sz w:val="18"/>
        </w:rPr>
        <w:t>IHC O, IHC 1+ or IHC 2+/</w:t>
      </w:r>
      <w:proofErr w:type="spellStart"/>
      <w:proofErr w:type="gramStart"/>
      <w:r>
        <w:rPr>
          <w:sz w:val="18"/>
        </w:rPr>
        <w:t>lSH</w:t>
      </w:r>
      <w:proofErr w:type="spellEnd"/>
      <w:r>
        <w:rPr>
          <w:sz w:val="18"/>
        </w:rPr>
        <w:t>—)</w:t>
      </w:r>
      <w:proofErr w:type="gramEnd"/>
      <w:r>
        <w:rPr>
          <w:sz w:val="18"/>
        </w:rPr>
        <w:t xml:space="preserve"> breast cancer.</w:t>
      </w:r>
    </w:p>
    <w:p w14:paraId="5063A827" w14:textId="77777777" w:rsidR="00284543" w:rsidRDefault="00671D17">
      <w:pPr>
        <w:spacing w:after="48"/>
        <w:ind w:left="10" w:hanging="10"/>
      </w:pPr>
      <w:r>
        <w:t>The main learning objectives include:</w:t>
      </w:r>
    </w:p>
    <w:p w14:paraId="1A36CD6B" w14:textId="77777777" w:rsidR="00284543" w:rsidRDefault="00671D17">
      <w:pPr>
        <w:numPr>
          <w:ilvl w:val="0"/>
          <w:numId w:val="1"/>
        </w:numPr>
        <w:spacing w:after="69" w:line="216" w:lineRule="auto"/>
        <w:ind w:hanging="190"/>
        <w:jc w:val="both"/>
      </w:pPr>
      <w:r>
        <w:rPr>
          <w:sz w:val="18"/>
        </w:rPr>
        <w:t>Discuss TROPION-Breast01 trial design and the key efficacy and safety data for DATROWAY</w:t>
      </w:r>
    </w:p>
    <w:p w14:paraId="43732EE7" w14:textId="77777777" w:rsidR="00284543" w:rsidRDefault="00671D17">
      <w:pPr>
        <w:numPr>
          <w:ilvl w:val="0"/>
          <w:numId w:val="1"/>
        </w:numPr>
        <w:spacing w:after="69" w:line="216" w:lineRule="auto"/>
        <w:ind w:hanging="190"/>
        <w:jc w:val="both"/>
      </w:pPr>
      <w:r>
        <w:rPr>
          <w:sz w:val="18"/>
        </w:rPr>
        <w:t>Review important dosing, administration, and adverse reaction management information for DATROWAY</w:t>
      </w:r>
    </w:p>
    <w:p w14:paraId="34DB3420" w14:textId="77777777" w:rsidR="00284543" w:rsidRDefault="00671D17">
      <w:pPr>
        <w:numPr>
          <w:ilvl w:val="0"/>
          <w:numId w:val="1"/>
        </w:numPr>
        <w:spacing w:after="92" w:line="216" w:lineRule="auto"/>
        <w:ind w:hanging="190"/>
        <w:jc w:val="both"/>
      </w:pPr>
      <w:r>
        <w:rPr>
          <w:sz w:val="18"/>
        </w:rPr>
        <w:t>Understand patient identification and treatment considerations for DATROWAY</w:t>
      </w:r>
    </w:p>
    <w:p w14:paraId="586B9228" w14:textId="77777777" w:rsidR="00284543" w:rsidRDefault="00671D17">
      <w:pPr>
        <w:spacing w:after="554"/>
        <w:ind w:left="7" w:right="-44"/>
      </w:pPr>
      <w:r>
        <w:rPr>
          <w:noProof/>
        </w:rPr>
        <mc:AlternateContent>
          <mc:Choice Requires="wpg">
            <w:drawing>
              <wp:inline distT="0" distB="0" distL="0" distR="0" wp14:anchorId="3F8A8809" wp14:editId="4091A274">
                <wp:extent cx="6397532" cy="13886"/>
                <wp:effectExtent l="0" t="0" r="0" b="0"/>
                <wp:docPr id="29384" name="Group 29384"/>
                <wp:cNvGraphicFramePr/>
                <a:graphic xmlns:a="http://schemas.openxmlformats.org/drawingml/2006/main">
                  <a:graphicData uri="http://schemas.microsoft.com/office/word/2010/wordprocessingGroup">
                    <wpg:wgp>
                      <wpg:cNvGrpSpPr/>
                      <wpg:grpSpPr>
                        <a:xfrm>
                          <a:off x="0" y="0"/>
                          <a:ext cx="6397532" cy="13886"/>
                          <a:chOff x="0" y="0"/>
                          <a:chExt cx="6397532" cy="13886"/>
                        </a:xfrm>
                      </wpg:grpSpPr>
                      <wps:wsp>
                        <wps:cNvPr id="29383" name="Shape 29383"/>
                        <wps:cNvSpPr/>
                        <wps:spPr>
                          <a:xfrm>
                            <a:off x="0" y="0"/>
                            <a:ext cx="6397532" cy="13886"/>
                          </a:xfrm>
                          <a:custGeom>
                            <a:avLst/>
                            <a:gdLst/>
                            <a:ahLst/>
                            <a:cxnLst/>
                            <a:rect l="0" t="0" r="0" b="0"/>
                            <a:pathLst>
                              <a:path w="6397532" h="13886">
                                <a:moveTo>
                                  <a:pt x="0" y="6943"/>
                                </a:moveTo>
                                <a:lnTo>
                                  <a:pt x="6397532" y="6943"/>
                                </a:lnTo>
                              </a:path>
                            </a:pathLst>
                          </a:custGeom>
                          <a:ln w="1388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9384" style="width:503.743pt;height:1.09341pt;mso-position-horizontal-relative:char;mso-position-vertical-relative:line" coordsize="63975,138">
                <v:shape id="Shape 29383" style="position:absolute;width:63975;height:138;left:0;top:0;" coordsize="6397532,13886" path="m0,6943l6397532,6943">
                  <v:stroke weight="1.09341pt" endcap="flat" joinstyle="miter" miterlimit="1" on="true" color="#000000"/>
                  <v:fill on="false" color="#000000"/>
                </v:shape>
              </v:group>
            </w:pict>
          </mc:Fallback>
        </mc:AlternateContent>
      </w:r>
    </w:p>
    <w:tbl>
      <w:tblPr>
        <w:tblStyle w:val="TableGrid"/>
        <w:tblW w:w="9178" w:type="dxa"/>
        <w:tblInd w:w="0" w:type="dxa"/>
        <w:tblCellMar>
          <w:top w:w="0" w:type="dxa"/>
          <w:left w:w="0" w:type="dxa"/>
          <w:bottom w:w="0" w:type="dxa"/>
          <w:right w:w="0" w:type="dxa"/>
        </w:tblCellMar>
        <w:tblLook w:val="04A0" w:firstRow="1" w:lastRow="0" w:firstColumn="1" w:lastColumn="0" w:noHBand="0" w:noVBand="1"/>
      </w:tblPr>
      <w:tblGrid>
        <w:gridCol w:w="3324"/>
        <w:gridCol w:w="3106"/>
        <w:gridCol w:w="2748"/>
      </w:tblGrid>
      <w:tr w:rsidR="00284543" w14:paraId="27B000A8" w14:textId="77777777">
        <w:trPr>
          <w:trHeight w:val="243"/>
        </w:trPr>
        <w:tc>
          <w:tcPr>
            <w:tcW w:w="3324" w:type="dxa"/>
            <w:tcBorders>
              <w:top w:val="nil"/>
              <w:left w:val="nil"/>
              <w:bottom w:val="nil"/>
              <w:right w:val="nil"/>
            </w:tcBorders>
          </w:tcPr>
          <w:p w14:paraId="31D2DCE7" w14:textId="77777777" w:rsidR="00284543" w:rsidRDefault="00671D17">
            <w:pPr>
              <w:spacing w:after="0"/>
              <w:ind w:left="15"/>
            </w:pPr>
            <w:r>
              <w:t>Program Details:</w:t>
            </w:r>
          </w:p>
        </w:tc>
        <w:tc>
          <w:tcPr>
            <w:tcW w:w="3106" w:type="dxa"/>
            <w:tcBorders>
              <w:top w:val="nil"/>
              <w:left w:val="nil"/>
              <w:bottom w:val="nil"/>
              <w:right w:val="nil"/>
            </w:tcBorders>
          </w:tcPr>
          <w:p w14:paraId="017151A1" w14:textId="77777777" w:rsidR="00284543" w:rsidRDefault="00671D17">
            <w:pPr>
              <w:spacing w:after="0"/>
              <w:ind w:left="131"/>
            </w:pPr>
            <w:r>
              <w:rPr>
                <w:sz w:val="24"/>
              </w:rPr>
              <w:t>Faculty:</w:t>
            </w:r>
          </w:p>
        </w:tc>
        <w:tc>
          <w:tcPr>
            <w:tcW w:w="2748" w:type="dxa"/>
            <w:tcBorders>
              <w:top w:val="nil"/>
              <w:left w:val="nil"/>
              <w:bottom w:val="nil"/>
              <w:right w:val="nil"/>
            </w:tcBorders>
          </w:tcPr>
          <w:p w14:paraId="73553A71" w14:textId="77777777" w:rsidR="00284543" w:rsidRDefault="00671D17">
            <w:pPr>
              <w:spacing w:after="0"/>
              <w:ind w:left="459"/>
            </w:pPr>
            <w:r>
              <w:rPr>
                <w:sz w:val="26"/>
              </w:rPr>
              <w:t>RSVP:</w:t>
            </w:r>
          </w:p>
        </w:tc>
      </w:tr>
      <w:tr w:rsidR="00284543" w14:paraId="0254503F" w14:textId="77777777">
        <w:trPr>
          <w:trHeight w:val="224"/>
        </w:trPr>
        <w:tc>
          <w:tcPr>
            <w:tcW w:w="3324" w:type="dxa"/>
            <w:tcBorders>
              <w:top w:val="nil"/>
              <w:left w:val="nil"/>
              <w:bottom w:val="nil"/>
              <w:right w:val="nil"/>
            </w:tcBorders>
          </w:tcPr>
          <w:p w14:paraId="2615F8EF" w14:textId="77777777" w:rsidR="00284543" w:rsidRDefault="00671D17">
            <w:pPr>
              <w:spacing w:after="0"/>
            </w:pPr>
            <w:r>
              <w:rPr>
                <w:sz w:val="18"/>
              </w:rPr>
              <w:t>Apr 28th, 2026</w:t>
            </w:r>
          </w:p>
        </w:tc>
        <w:tc>
          <w:tcPr>
            <w:tcW w:w="3106" w:type="dxa"/>
            <w:tcBorders>
              <w:top w:val="nil"/>
              <w:left w:val="nil"/>
              <w:bottom w:val="nil"/>
              <w:right w:val="nil"/>
            </w:tcBorders>
          </w:tcPr>
          <w:p w14:paraId="33FBC2BD" w14:textId="77777777" w:rsidR="00284543" w:rsidRDefault="00671D17">
            <w:pPr>
              <w:spacing w:after="0"/>
              <w:ind w:left="124"/>
            </w:pPr>
            <w:r>
              <w:rPr>
                <w:sz w:val="18"/>
              </w:rPr>
              <w:t>Kumar Abhishek,</w:t>
            </w:r>
          </w:p>
        </w:tc>
        <w:tc>
          <w:tcPr>
            <w:tcW w:w="2748" w:type="dxa"/>
            <w:tcBorders>
              <w:top w:val="nil"/>
              <w:left w:val="nil"/>
              <w:bottom w:val="nil"/>
              <w:right w:val="nil"/>
            </w:tcBorders>
          </w:tcPr>
          <w:p w14:paraId="5C6AA54D" w14:textId="77777777" w:rsidR="00284543" w:rsidRDefault="00671D17">
            <w:pPr>
              <w:spacing w:after="0"/>
              <w:ind w:left="459"/>
            </w:pPr>
            <w:r>
              <w:rPr>
                <w:sz w:val="18"/>
              </w:rPr>
              <w:t>Laura Matthews</w:t>
            </w:r>
          </w:p>
        </w:tc>
      </w:tr>
      <w:tr w:rsidR="00284543" w14:paraId="666F433E" w14:textId="77777777">
        <w:trPr>
          <w:trHeight w:val="237"/>
        </w:trPr>
        <w:tc>
          <w:tcPr>
            <w:tcW w:w="3324" w:type="dxa"/>
            <w:tcBorders>
              <w:top w:val="nil"/>
              <w:left w:val="nil"/>
              <w:bottom w:val="nil"/>
              <w:right w:val="nil"/>
            </w:tcBorders>
          </w:tcPr>
          <w:p w14:paraId="7797291F" w14:textId="77777777" w:rsidR="00284543" w:rsidRDefault="00671D17">
            <w:pPr>
              <w:spacing w:after="0"/>
              <w:ind w:left="7"/>
            </w:pPr>
            <w:r>
              <w:rPr>
                <w:sz w:val="18"/>
              </w:rPr>
              <w:t>6:00 PM Eastern Standard Time</w:t>
            </w:r>
          </w:p>
        </w:tc>
        <w:tc>
          <w:tcPr>
            <w:tcW w:w="3106" w:type="dxa"/>
            <w:tcBorders>
              <w:top w:val="nil"/>
              <w:left w:val="nil"/>
              <w:bottom w:val="nil"/>
              <w:right w:val="nil"/>
            </w:tcBorders>
          </w:tcPr>
          <w:p w14:paraId="7D1178DB" w14:textId="77777777" w:rsidR="00284543" w:rsidRDefault="00671D17">
            <w:pPr>
              <w:spacing w:after="0"/>
              <w:ind w:left="124"/>
            </w:pPr>
            <w:r>
              <w:rPr>
                <w:sz w:val="18"/>
              </w:rPr>
              <w:t>BON Secours Cancer Institute AT Memorial</w:t>
            </w:r>
          </w:p>
        </w:tc>
        <w:tc>
          <w:tcPr>
            <w:tcW w:w="2748" w:type="dxa"/>
            <w:tcBorders>
              <w:top w:val="nil"/>
              <w:left w:val="nil"/>
              <w:bottom w:val="nil"/>
              <w:right w:val="nil"/>
            </w:tcBorders>
          </w:tcPr>
          <w:p w14:paraId="22565E60" w14:textId="77777777" w:rsidR="00284543" w:rsidRDefault="00671D17">
            <w:pPr>
              <w:spacing w:after="0"/>
              <w:jc w:val="right"/>
            </w:pPr>
            <w:r>
              <w:rPr>
                <w:sz w:val="16"/>
              </w:rPr>
              <w:t>laura.matthews@astrazeneca.com</w:t>
            </w:r>
          </w:p>
        </w:tc>
      </w:tr>
      <w:tr w:rsidR="00284543" w14:paraId="0C7A3020" w14:textId="77777777">
        <w:trPr>
          <w:trHeight w:val="234"/>
        </w:trPr>
        <w:tc>
          <w:tcPr>
            <w:tcW w:w="3324" w:type="dxa"/>
            <w:tcBorders>
              <w:top w:val="nil"/>
              <w:left w:val="nil"/>
              <w:bottom w:val="nil"/>
              <w:right w:val="nil"/>
            </w:tcBorders>
          </w:tcPr>
          <w:p w14:paraId="55738E78" w14:textId="77777777" w:rsidR="00284543" w:rsidRDefault="00671D17">
            <w:pPr>
              <w:spacing w:after="0"/>
              <w:ind w:left="15"/>
            </w:pPr>
            <w:r>
              <w:rPr>
                <w:sz w:val="16"/>
              </w:rPr>
              <w:t>Butcher and Rose</w:t>
            </w:r>
          </w:p>
        </w:tc>
        <w:tc>
          <w:tcPr>
            <w:tcW w:w="3106" w:type="dxa"/>
            <w:tcBorders>
              <w:top w:val="nil"/>
              <w:left w:val="nil"/>
              <w:bottom w:val="nil"/>
              <w:right w:val="nil"/>
            </w:tcBorders>
          </w:tcPr>
          <w:p w14:paraId="4D2D6F7A" w14:textId="77777777" w:rsidR="00284543" w:rsidRDefault="00671D17">
            <w:pPr>
              <w:spacing w:after="0"/>
              <w:ind w:left="124"/>
            </w:pPr>
            <w:r>
              <w:rPr>
                <w:sz w:val="18"/>
              </w:rPr>
              <w:t>Regional</w:t>
            </w:r>
          </w:p>
        </w:tc>
        <w:tc>
          <w:tcPr>
            <w:tcW w:w="2748" w:type="dxa"/>
            <w:tcBorders>
              <w:top w:val="nil"/>
              <w:left w:val="nil"/>
              <w:bottom w:val="nil"/>
              <w:right w:val="nil"/>
            </w:tcBorders>
          </w:tcPr>
          <w:p w14:paraId="631A8C03" w14:textId="77777777" w:rsidR="00284543" w:rsidRDefault="00671D17">
            <w:pPr>
              <w:spacing w:after="0"/>
              <w:ind w:left="452"/>
            </w:pPr>
            <w:r>
              <w:rPr>
                <w:rFonts w:ascii="Times New Roman" w:eastAsia="Times New Roman" w:hAnsi="Times New Roman" w:cs="Times New Roman"/>
                <w:sz w:val="16"/>
              </w:rPr>
              <w:t>(614) 4397412</w:t>
            </w:r>
          </w:p>
        </w:tc>
      </w:tr>
      <w:tr w:rsidR="00284543" w14:paraId="57983E6D" w14:textId="77777777">
        <w:trPr>
          <w:trHeight w:val="191"/>
        </w:trPr>
        <w:tc>
          <w:tcPr>
            <w:tcW w:w="3324" w:type="dxa"/>
            <w:tcBorders>
              <w:top w:val="nil"/>
              <w:left w:val="nil"/>
              <w:bottom w:val="nil"/>
              <w:right w:val="nil"/>
            </w:tcBorders>
          </w:tcPr>
          <w:p w14:paraId="4694F7B8" w14:textId="77777777" w:rsidR="00284543" w:rsidRDefault="00671D17">
            <w:pPr>
              <w:spacing w:after="0"/>
              <w:ind w:left="15"/>
            </w:pPr>
            <w:r>
              <w:rPr>
                <w:sz w:val="18"/>
              </w:rPr>
              <w:t>1 55 East Broad Street</w:t>
            </w:r>
          </w:p>
        </w:tc>
        <w:tc>
          <w:tcPr>
            <w:tcW w:w="3106" w:type="dxa"/>
            <w:tcBorders>
              <w:top w:val="nil"/>
              <w:left w:val="nil"/>
              <w:bottom w:val="nil"/>
              <w:right w:val="nil"/>
            </w:tcBorders>
          </w:tcPr>
          <w:p w14:paraId="5BF01B3E" w14:textId="77777777" w:rsidR="00284543" w:rsidRDefault="00671D17">
            <w:pPr>
              <w:spacing w:after="0"/>
              <w:ind w:left="124"/>
            </w:pPr>
            <w:r>
              <w:rPr>
                <w:sz w:val="20"/>
              </w:rPr>
              <w:t>GLEN ALLEN, VA</w:t>
            </w:r>
          </w:p>
        </w:tc>
        <w:tc>
          <w:tcPr>
            <w:tcW w:w="2748" w:type="dxa"/>
            <w:tcBorders>
              <w:top w:val="nil"/>
              <w:left w:val="nil"/>
              <w:bottom w:val="nil"/>
              <w:right w:val="nil"/>
            </w:tcBorders>
          </w:tcPr>
          <w:p w14:paraId="25520BB7" w14:textId="77777777" w:rsidR="00284543" w:rsidRDefault="00284543"/>
        </w:tc>
      </w:tr>
    </w:tbl>
    <w:p w14:paraId="069FB85D" w14:textId="77777777" w:rsidR="00284543" w:rsidRDefault="00671D17">
      <w:pPr>
        <w:spacing w:after="1636" w:line="216" w:lineRule="auto"/>
        <w:ind w:left="2" w:hanging="10"/>
        <w:jc w:val="both"/>
      </w:pPr>
      <w:r>
        <w:rPr>
          <w:sz w:val="16"/>
        </w:rPr>
        <w:t>Columbus, OH 43215</w:t>
      </w:r>
    </w:p>
    <w:p w14:paraId="38707651" w14:textId="77777777" w:rsidR="00284543" w:rsidRDefault="00671D17">
      <w:pPr>
        <w:spacing w:after="32" w:line="216" w:lineRule="auto"/>
        <w:ind w:left="3" w:hanging="3"/>
        <w:jc w:val="both"/>
      </w:pPr>
      <w:r>
        <w:rPr>
          <w:sz w:val="18"/>
        </w:rPr>
        <w:t>The intended audience for this program is US healthcare professionals.</w:t>
      </w:r>
    </w:p>
    <w:p w14:paraId="4D77D38C" w14:textId="77777777" w:rsidR="00284543" w:rsidRDefault="00671D17">
      <w:pPr>
        <w:spacing w:after="622" w:line="216" w:lineRule="auto"/>
        <w:ind w:left="2" w:hanging="10"/>
        <w:jc w:val="both"/>
      </w:pPr>
      <w:r>
        <w:rPr>
          <w:sz w:val="16"/>
        </w:rPr>
        <w:t>This program is being provided to you by Daiichi Sankyo, Inc. and AstraZeneca. The speaker is being compensated for the presentation. The program is not CME accredited and may not be used for CME accreditation. In adherence with PhRMA guidelines, spouses or other guests are not permitted to attend company-sponsored programs. Please be advised that information such as your name and the value and purpose of any educational item, meal, or other items of value you may receive may be publicly disclosed. If you a</w:t>
      </w:r>
      <w:r>
        <w:rPr>
          <w:sz w:val="16"/>
        </w:rPr>
        <w:t xml:space="preserve">re licensed in any state or other </w:t>
      </w:r>
      <w:proofErr w:type="gramStart"/>
      <w:r>
        <w:rPr>
          <w:sz w:val="16"/>
        </w:rPr>
        <w:t>jurisdiction, or</w:t>
      </w:r>
      <w:proofErr w:type="gramEnd"/>
      <w:r>
        <w:rPr>
          <w:sz w:val="16"/>
        </w:rPr>
        <w:t xml:space="preserve"> are an employee or contractor of any organization or governmental entity that limits or prohibits meals from pharmaceutical companies, please identify yourself so that compliance with such requirements can be ensured.</w:t>
      </w:r>
    </w:p>
    <w:p w14:paraId="08FB7EB3" w14:textId="77777777" w:rsidR="00284543" w:rsidRDefault="00671D17">
      <w:pPr>
        <w:spacing w:after="0"/>
        <w:ind w:left="10" w:hanging="10"/>
      </w:pPr>
      <w:r>
        <w:t>Indication and Important Safety Information</w:t>
      </w:r>
    </w:p>
    <w:p w14:paraId="33384E87" w14:textId="77777777" w:rsidR="00284543" w:rsidRDefault="00671D17">
      <w:pPr>
        <w:pStyle w:val="Heading1"/>
        <w:ind w:left="3"/>
      </w:pPr>
      <w:r>
        <w:lastRenderedPageBreak/>
        <w:t>Indication</w:t>
      </w:r>
    </w:p>
    <w:p w14:paraId="12295F0C" w14:textId="77777777" w:rsidR="00284543" w:rsidRDefault="00671D17">
      <w:pPr>
        <w:spacing w:after="69" w:line="216" w:lineRule="auto"/>
        <w:ind w:left="3" w:hanging="3"/>
        <w:jc w:val="both"/>
      </w:pPr>
      <w:r>
        <w:rPr>
          <w:sz w:val="18"/>
        </w:rPr>
        <w:t>DATROWAY@ is a Trop-2-directed antibody and topoisomerase inhibitor conjugate indicated for the treatment of adult patients with unresectable or metastatic, hormone receptor (HR)-positive, human epidermal growth factor receptor 2 (HER2)-negative (IHC 0, IHC 1+ or IHC 2+/</w:t>
      </w:r>
      <w:proofErr w:type="spellStart"/>
      <w:r>
        <w:rPr>
          <w:sz w:val="18"/>
        </w:rPr>
        <w:t>lSH</w:t>
      </w:r>
      <w:proofErr w:type="spellEnd"/>
      <w:r>
        <w:rPr>
          <w:sz w:val="18"/>
        </w:rPr>
        <w:t>—) breast cancer who have received prior endocrine-based therapy and chemotherapy for unresectable or metastatic disease.</w:t>
      </w:r>
    </w:p>
    <w:p w14:paraId="58300635" w14:textId="77777777" w:rsidR="00284543" w:rsidRDefault="00671D17">
      <w:pPr>
        <w:pStyle w:val="Heading1"/>
        <w:ind w:left="3"/>
      </w:pPr>
      <w:r>
        <w:t>Contraindications</w:t>
      </w:r>
    </w:p>
    <w:p w14:paraId="456AF798" w14:textId="77777777" w:rsidR="00284543" w:rsidRDefault="00671D17">
      <w:pPr>
        <w:spacing w:after="750" w:line="216" w:lineRule="auto"/>
        <w:ind w:left="3" w:hanging="3"/>
        <w:jc w:val="both"/>
      </w:pPr>
      <w:r>
        <w:rPr>
          <w:sz w:val="18"/>
        </w:rPr>
        <w:t>None.</w:t>
      </w:r>
    </w:p>
    <w:p w14:paraId="33A961FA" w14:textId="77777777" w:rsidR="00284543" w:rsidRDefault="00671D17">
      <w:pPr>
        <w:spacing w:after="25"/>
        <w:ind w:firstLine="4046"/>
      </w:pPr>
      <w:r>
        <w:rPr>
          <w:sz w:val="20"/>
        </w:rPr>
        <w:t>Please see accompanying full Prescribing Information, including Warnings O Daiichi-Sankyo AstraZeneca and Precautions, and Medication Guide.</w:t>
      </w:r>
    </w:p>
    <w:p w14:paraId="042092E9" w14:textId="77777777" w:rsidR="00284543" w:rsidRDefault="00284543">
      <w:pPr>
        <w:sectPr w:rsidR="00284543">
          <w:pgSz w:w="12240" w:h="15840"/>
          <w:pgMar w:top="109" w:right="1123" w:bottom="1440" w:left="1079" w:header="720" w:footer="720" w:gutter="0"/>
          <w:cols w:space="720"/>
        </w:sectPr>
      </w:pPr>
    </w:p>
    <w:p w14:paraId="70B09503" w14:textId="77777777" w:rsidR="00284543" w:rsidRDefault="00671D17">
      <w:pPr>
        <w:spacing w:after="0"/>
        <w:ind w:left="10" w:hanging="10"/>
      </w:pPr>
      <w:r>
        <w:t>Indication and Important Safety Information (continued)</w:t>
      </w:r>
    </w:p>
    <w:p w14:paraId="41517FE9" w14:textId="77777777" w:rsidR="00284543" w:rsidRDefault="00671D17">
      <w:pPr>
        <w:pStyle w:val="Heading1"/>
        <w:ind w:left="3"/>
      </w:pPr>
      <w:r>
        <w:t>Warnings and Precautions Interstitial Lung Disease/Pneumonitis</w:t>
      </w:r>
    </w:p>
    <w:p w14:paraId="6EA4F62B" w14:textId="77777777" w:rsidR="00284543" w:rsidRDefault="00671D17">
      <w:pPr>
        <w:spacing w:after="69" w:line="216" w:lineRule="auto"/>
        <w:ind w:left="3" w:hanging="3"/>
        <w:jc w:val="both"/>
      </w:pPr>
      <w:r>
        <w:rPr>
          <w:sz w:val="18"/>
        </w:rPr>
        <w:t>DATROWAY can cause severe, life-threatening, or fatal interstitial lung disease (ILD) or pneumonitis.</w:t>
      </w:r>
    </w:p>
    <w:p w14:paraId="4984B85F" w14:textId="77777777" w:rsidR="00284543" w:rsidRDefault="00671D17">
      <w:pPr>
        <w:pStyle w:val="Heading2"/>
        <w:ind w:left="10"/>
      </w:pPr>
      <w:r>
        <w:t>Unresectable or Metastatic Breast Cancer</w:t>
      </w:r>
    </w:p>
    <w:p w14:paraId="03A1EBF5" w14:textId="77777777" w:rsidR="00284543" w:rsidRDefault="00671D17">
      <w:pPr>
        <w:spacing w:after="93" w:line="218" w:lineRule="auto"/>
        <w:ind w:right="21" w:firstLine="5"/>
      </w:pPr>
      <w:r>
        <w:rPr>
          <w:sz w:val="18"/>
        </w:rPr>
        <w:t>In the pooled safety population of 443 patients with breast cancer from TROPION-Breast01 and TROPION-PanTumor01, ILD/pneumonitis occurred in 3.6% of patients treated with DATROWAY, including 0.7% of patients with Grade 3. There was one fatal case (0.2%). The median time to onset for ILD was 2.8 months (range: 1 .1 months to 10.8 months). Four patients (0.9%) had DATROWAY withheld and 7 patients (1.6%) permanently discontinued DATROWAY due to ILD/pneumonitis. Systemic corticosteroids were required in 60% (9/</w:t>
      </w:r>
      <w:r>
        <w:rPr>
          <w:sz w:val="18"/>
        </w:rPr>
        <w:t>15) of patients with ILD/pneumonitis. ILD/pneumonitis resolved in 40% of patients.</w:t>
      </w:r>
    </w:p>
    <w:p w14:paraId="75E5C881" w14:textId="77777777" w:rsidR="00284543" w:rsidRDefault="00671D17">
      <w:pPr>
        <w:spacing w:after="67" w:line="218" w:lineRule="auto"/>
        <w:ind w:right="21" w:firstLine="5"/>
      </w:pPr>
      <w:r>
        <w:rPr>
          <w:sz w:val="18"/>
        </w:rPr>
        <w:t>Patients were excluded from clinical studies for a history of ILD/pneumonitis requiring treatment with steroids or for ongoing ILD/pneumonitis.</w:t>
      </w:r>
    </w:p>
    <w:p w14:paraId="0B49E70A" w14:textId="77777777" w:rsidR="00284543" w:rsidRDefault="00671D17">
      <w:pPr>
        <w:spacing w:after="69" w:line="216" w:lineRule="auto"/>
        <w:ind w:left="3" w:right="219" w:hanging="3"/>
        <w:jc w:val="both"/>
      </w:pPr>
      <w:r>
        <w:rPr>
          <w:sz w:val="18"/>
        </w:rPr>
        <w:t>Monitor patients for new or worsening respiratory symptoms indicative of ILD/pneumonitis (e.g., dyspnea, cough, fever) during treatment with DATROWAY. For asymptomatic (Grade 1) ILD/pneumonitis, consider corticosteroid treatment (e.g., 20.5 mg/kg/day prednisolone or equivalent). For symptomatic ILD/pneumonitis (Grade 2 or greater), promptly initiate systemic corticosteroid treatment (e.g., 21 mg/kg/day prednisolone or equivalent) and continue for at least 14 days followed by gradual taper for at least 4 wee</w:t>
      </w:r>
      <w:r>
        <w:rPr>
          <w:sz w:val="18"/>
        </w:rPr>
        <w:t>ks.</w:t>
      </w:r>
    </w:p>
    <w:p w14:paraId="2D312CF2" w14:textId="77777777" w:rsidR="00284543" w:rsidRDefault="00671D17">
      <w:pPr>
        <w:spacing w:after="69" w:line="216" w:lineRule="auto"/>
        <w:ind w:left="3" w:right="197" w:hanging="3"/>
        <w:jc w:val="both"/>
      </w:pPr>
      <w:r>
        <w:rPr>
          <w:sz w:val="18"/>
        </w:rPr>
        <w:t>Withhold DATROWAY in patients with suspected Il-D/pneumonitis and permanently discontinue DATROWAY if 2Grade 2 ILD/pneumonitis is confirmed.</w:t>
      </w:r>
    </w:p>
    <w:p w14:paraId="5296103D" w14:textId="77777777" w:rsidR="00284543" w:rsidRDefault="00671D17">
      <w:pPr>
        <w:pStyle w:val="Heading1"/>
        <w:ind w:left="3"/>
      </w:pPr>
      <w:r>
        <w:t>Ocular Adverse Reactions</w:t>
      </w:r>
    </w:p>
    <w:p w14:paraId="61F9C335" w14:textId="77777777" w:rsidR="00284543" w:rsidRDefault="00671D17">
      <w:pPr>
        <w:spacing w:after="69" w:line="216" w:lineRule="auto"/>
        <w:ind w:left="3" w:right="95" w:hanging="3"/>
        <w:jc w:val="both"/>
      </w:pPr>
      <w:r>
        <w:rPr>
          <w:sz w:val="18"/>
        </w:rPr>
        <w:t>DATROWAY can cause ocular adverse reactions including dry eye, keratitis, blepharitis, meibomian gland dysfunction, increased lacrimation, conjunctivitis, and blurred vision.</w:t>
      </w:r>
    </w:p>
    <w:p w14:paraId="45C2BA4B" w14:textId="77777777" w:rsidR="00284543" w:rsidRDefault="00671D17">
      <w:pPr>
        <w:spacing w:after="69" w:line="216" w:lineRule="auto"/>
        <w:ind w:left="3" w:hanging="3"/>
        <w:jc w:val="both"/>
      </w:pPr>
      <w:r>
        <w:rPr>
          <w:sz w:val="18"/>
          <w:u w:val="single" w:color="000000"/>
        </w:rPr>
        <w:t xml:space="preserve">Unresectable or Metastatic Breast Cancer and Other Solid Tumors </w:t>
      </w:r>
      <w:r>
        <w:rPr>
          <w:sz w:val="18"/>
        </w:rPr>
        <w:t xml:space="preserve">In patients with unresectable or metastatic breast cancer and other solid tumors, ocular adverse reactions occurred in 36% of patients treated with DATROWAY. Twenty patients (2.2%) experienced Grade 3 ocular adverse reactions, which included keratitis, dry eye, and blurred vision, and one patient experienced a Grade 4 ocular adverse reaction of conjunctival hemorrhage. The most common (25%) ocular adverse reactions were dry eye (17%), keratitis (14%), and increased lacrimation (7%). The median time </w:t>
      </w:r>
      <w:proofErr w:type="gramStart"/>
      <w:r>
        <w:rPr>
          <w:sz w:val="18"/>
        </w:rPr>
        <w:t>to</w:t>
      </w:r>
      <w:proofErr w:type="gramEnd"/>
      <w:r>
        <w:rPr>
          <w:sz w:val="18"/>
        </w:rPr>
        <w:t xml:space="preserve"> onset</w:t>
      </w:r>
      <w:r>
        <w:rPr>
          <w:sz w:val="18"/>
        </w:rPr>
        <w:t xml:space="preserve"> for ocular adverse reactions was 2.3 months (range: 0.03 months to 23.2 months). Of the patients who experienced ocular adverse reactions, 39% had complete resolution, and 10% had partial improvement (defined as a decrease in severity by one or more grades from the worst grade at last follow up). Ocular adverse reactions led to dosage interruption in 3.6% of patients, dosage reductions in 2.5% of patients, and permanent discontinuation of DATROWAY in 1% of patients.</w:t>
      </w:r>
    </w:p>
    <w:p w14:paraId="5A71BA9E" w14:textId="77777777" w:rsidR="00284543" w:rsidRDefault="00671D17">
      <w:pPr>
        <w:spacing w:after="69" w:line="216" w:lineRule="auto"/>
        <w:ind w:left="3" w:hanging="3"/>
        <w:jc w:val="both"/>
      </w:pPr>
      <w:r>
        <w:rPr>
          <w:sz w:val="18"/>
        </w:rPr>
        <w:t>Patients with clinically significant corneal disease were excluded from clinical studies.</w:t>
      </w:r>
    </w:p>
    <w:p w14:paraId="58112467" w14:textId="77777777" w:rsidR="00284543" w:rsidRDefault="00671D17">
      <w:pPr>
        <w:spacing w:after="69" w:line="216" w:lineRule="auto"/>
        <w:ind w:left="3" w:hanging="3"/>
        <w:jc w:val="both"/>
      </w:pPr>
      <w:r>
        <w:rPr>
          <w:sz w:val="18"/>
        </w:rPr>
        <w:t>Advise patients to use preservative-free lubricant eye drops several times daily for prophylaxis. Advise patients to avoid use of contact lenses unless directed by an eye care professional.</w:t>
      </w:r>
    </w:p>
    <w:p w14:paraId="24AE5790" w14:textId="77777777" w:rsidR="00284543" w:rsidRDefault="00671D17">
      <w:pPr>
        <w:spacing w:after="45" w:line="216" w:lineRule="auto"/>
        <w:ind w:left="3" w:hanging="3"/>
        <w:jc w:val="both"/>
      </w:pPr>
      <w:r>
        <w:rPr>
          <w:sz w:val="18"/>
        </w:rPr>
        <w:t>Refer patients to an eye care professional for an ophthalmic exam including visual acuity testing, slit lamp examination (with fluorescein staining), intraocular pressure, and fundoscopy at treatment initiation, annually while on treatment, at end of treatment, and as clinically indicated.</w:t>
      </w:r>
    </w:p>
    <w:p w14:paraId="4F62087A" w14:textId="77777777" w:rsidR="00284543" w:rsidRDefault="00671D17">
      <w:pPr>
        <w:spacing w:after="69" w:line="216" w:lineRule="auto"/>
        <w:ind w:left="3" w:hanging="3"/>
        <w:jc w:val="both"/>
      </w:pPr>
      <w:r>
        <w:rPr>
          <w:sz w:val="18"/>
        </w:rPr>
        <w:t>Promptly refer patients to an eye care professional for any new or worsening ocular adverse reactions.</w:t>
      </w:r>
    </w:p>
    <w:p w14:paraId="7EEC1000" w14:textId="77777777" w:rsidR="00284543" w:rsidRDefault="00671D17">
      <w:pPr>
        <w:spacing w:after="69" w:line="216" w:lineRule="auto"/>
        <w:ind w:left="3" w:right="131" w:hanging="3"/>
        <w:jc w:val="both"/>
      </w:pPr>
      <w:r>
        <w:rPr>
          <w:sz w:val="18"/>
        </w:rPr>
        <w:t>Monitor patients for ocular adverse reactions during treatment with DATROWAY, and if diagnosis is confirmed, withhold, reduce the dose, or permanently discontinue DATROWAY based on severity.</w:t>
      </w:r>
    </w:p>
    <w:p w14:paraId="412ECE7B" w14:textId="77777777" w:rsidR="00284543" w:rsidRDefault="00671D17">
      <w:pPr>
        <w:pStyle w:val="Heading1"/>
        <w:ind w:left="3"/>
      </w:pPr>
      <w:r>
        <w:t>Stomatitis</w:t>
      </w:r>
    </w:p>
    <w:p w14:paraId="3BB40F8A" w14:textId="77777777" w:rsidR="00284543" w:rsidRDefault="00671D17">
      <w:pPr>
        <w:spacing w:after="69" w:line="216" w:lineRule="auto"/>
        <w:ind w:left="3" w:hanging="3"/>
        <w:jc w:val="both"/>
      </w:pPr>
      <w:r>
        <w:rPr>
          <w:sz w:val="18"/>
        </w:rPr>
        <w:t>DATROWAY can cause stomatitis, including mouth ulcers and oral mucositis.</w:t>
      </w:r>
    </w:p>
    <w:p w14:paraId="05C4E638" w14:textId="77777777" w:rsidR="00284543" w:rsidRDefault="00671D17">
      <w:pPr>
        <w:spacing w:after="67" w:line="218" w:lineRule="auto"/>
        <w:ind w:right="21" w:firstLine="5"/>
      </w:pPr>
      <w:r>
        <w:rPr>
          <w:sz w:val="18"/>
          <w:u w:val="single" w:color="000000"/>
        </w:rPr>
        <w:t xml:space="preserve">Unresectable or Metastatic Breast Cancer and Other Solid Tumors </w:t>
      </w:r>
      <w:r>
        <w:rPr>
          <w:sz w:val="18"/>
        </w:rPr>
        <w:t>In patients with unresectable or metastatic breast cancer and other solid tumors, stomatitis occurred in 63% of patients treated with DATROWAY, including 8% of patients with Grade 3 events and one patient with a Grade 4 reaction. The median time to first onset of stomatitis was 0.5 months (range: 0.03 months to 18.6 months). Stomatitis led to dosage interruption in 6% of patients, dosage reductions in 11% of patients, and permanent discontinuation of DATROWAY in 0.5% of patients.</w:t>
      </w:r>
    </w:p>
    <w:p w14:paraId="6DC0B7F3" w14:textId="77777777" w:rsidR="00284543" w:rsidRDefault="00671D17">
      <w:pPr>
        <w:spacing w:after="114" w:line="218" w:lineRule="auto"/>
        <w:ind w:right="21" w:firstLine="5"/>
      </w:pPr>
      <w:r>
        <w:rPr>
          <w:sz w:val="18"/>
        </w:rPr>
        <w:t>In patients who received DATROWAY in TROPION-Breast01, 39% used a mouthwash containing corticosteroid for management or prophylaxis of stomatitis/oral mucositis at any time during the treatment.</w:t>
      </w:r>
    </w:p>
    <w:p w14:paraId="155DDBAB" w14:textId="77777777" w:rsidR="00284543" w:rsidRDefault="00671D17">
      <w:pPr>
        <w:spacing w:after="67" w:line="218" w:lineRule="auto"/>
        <w:ind w:right="21" w:firstLine="5"/>
      </w:pPr>
      <w:r>
        <w:rPr>
          <w:sz w:val="18"/>
        </w:rPr>
        <w:t xml:space="preserve">Advise patients to use </w:t>
      </w:r>
      <w:proofErr w:type="gramStart"/>
      <w:r>
        <w:rPr>
          <w:sz w:val="18"/>
        </w:rPr>
        <w:t>a steroid</w:t>
      </w:r>
      <w:proofErr w:type="gramEnd"/>
      <w:r>
        <w:rPr>
          <w:sz w:val="18"/>
        </w:rPr>
        <w:t>-containing mouthwash for prophylaxis and treatment of stomatitis. Instruct the patient to hold ice chips or ice water in the mouth throughout the infusion of DATROWAY</w:t>
      </w:r>
    </w:p>
    <w:p w14:paraId="4CC0E24C" w14:textId="77777777" w:rsidR="00284543" w:rsidRDefault="00671D17">
      <w:pPr>
        <w:spacing w:after="36" w:line="216" w:lineRule="auto"/>
        <w:ind w:left="3" w:right="95" w:hanging="3"/>
        <w:jc w:val="both"/>
      </w:pPr>
      <w:r>
        <w:rPr>
          <w:sz w:val="18"/>
        </w:rPr>
        <w:t>Monitor patients for signs and symptoms of stomatitis. If stomatitis occurs, increase the frequency of mouthwash and administer other topical treatments as clinically indicated. Based on the severity of the adverse reaction, withhold, reduce the dose, or permanently discontinue DATROWAY.</w:t>
      </w:r>
    </w:p>
    <w:p w14:paraId="1EB659C6" w14:textId="77777777" w:rsidR="00284543" w:rsidRDefault="00671D17">
      <w:pPr>
        <w:pStyle w:val="Heading1"/>
        <w:ind w:left="3"/>
      </w:pPr>
      <w:r>
        <w:t>Embryo-Fetal Toxicity</w:t>
      </w:r>
    </w:p>
    <w:p w14:paraId="549EC470" w14:textId="77777777" w:rsidR="00284543" w:rsidRDefault="00671D17">
      <w:pPr>
        <w:spacing w:after="69" w:line="216" w:lineRule="auto"/>
        <w:ind w:left="3" w:hanging="3"/>
        <w:jc w:val="both"/>
      </w:pPr>
      <w:r>
        <w:rPr>
          <w:sz w:val="18"/>
        </w:rPr>
        <w:t xml:space="preserve">Based on its mechanism of action, DATROWAY can cause embryofetal harm when administered to a pregnant woman because the topoisomerase inhibitor component of DATROWAY, </w:t>
      </w:r>
      <w:proofErr w:type="spellStart"/>
      <w:r>
        <w:rPr>
          <w:sz w:val="18"/>
        </w:rPr>
        <w:t>DXd</w:t>
      </w:r>
      <w:proofErr w:type="spellEnd"/>
      <w:r>
        <w:rPr>
          <w:sz w:val="18"/>
        </w:rPr>
        <w:t>, is genotoxic and affects actively dividing cells.</w:t>
      </w:r>
    </w:p>
    <w:p w14:paraId="69E2EFC6" w14:textId="77777777" w:rsidR="00284543" w:rsidRDefault="00671D17">
      <w:pPr>
        <w:spacing w:after="69" w:line="216" w:lineRule="auto"/>
        <w:ind w:left="3" w:right="219" w:hanging="3"/>
        <w:jc w:val="both"/>
      </w:pPr>
      <w:r>
        <w:rPr>
          <w:sz w:val="18"/>
        </w:rPr>
        <w:t>Advise patients of the potential risk to a fetus. Advise female patients of reproductive potential to use effective contraception during treatment with DATROWAY and for 7 months after the last dose. Advise male patients with female partners of reproductive potential to use effective contraception during treatment with DATROWAY and for 4 months after the last dose.</w:t>
      </w:r>
    </w:p>
    <w:p w14:paraId="42157F22" w14:textId="77777777" w:rsidR="00284543" w:rsidRDefault="00671D17">
      <w:pPr>
        <w:pStyle w:val="Heading1"/>
        <w:ind w:left="3"/>
      </w:pPr>
      <w:r>
        <w:lastRenderedPageBreak/>
        <w:t>Adverse Reactions</w:t>
      </w:r>
    </w:p>
    <w:p w14:paraId="4DBB0D06" w14:textId="77777777" w:rsidR="00284543" w:rsidRDefault="00671D17">
      <w:pPr>
        <w:pStyle w:val="Heading2"/>
        <w:ind w:left="10"/>
      </w:pPr>
      <w:r>
        <w:t>Unresectable or Metastatic Breast Cancer and Other Solid Tumors</w:t>
      </w:r>
    </w:p>
    <w:p w14:paraId="1BEF7892" w14:textId="77777777" w:rsidR="00284543" w:rsidRDefault="00671D17">
      <w:pPr>
        <w:spacing w:after="67" w:line="218" w:lineRule="auto"/>
        <w:ind w:right="21" w:firstLine="5"/>
      </w:pPr>
      <w:r>
        <w:rPr>
          <w:sz w:val="18"/>
        </w:rPr>
        <w:t>The pooled safety population described in WARNINGS AND PRECAUTIONS reflects exposure to DATROWAY as a single agent at 6 mg/kg administered as an intravenous infusion once every 3 weeks (21 -day cycle) until disease progression or unacceptable toxicity in 927 patients in TROPION-Breast01 and other clinical trials. Among these patients who received DATROWAY, 45% were exposed for 6 months or longer and 19% were exposed for greater than one year. In this pooled safety population, the most common (2 20%) adverse</w:t>
      </w:r>
      <w:r>
        <w:rPr>
          <w:sz w:val="18"/>
        </w:rPr>
        <w:t xml:space="preserve"> reactions were stomatitis (63%), nausea (52%), fatigue (45%), alopecia (38%), constipation (28%), decreased appetite (23%), rash (23%), vomiting (22%), and musculoskeletal pain (20%). In this pooled safety population, the most common (22%) Grade 3 or 4 laboratory abnormalities </w:t>
      </w:r>
      <w:proofErr w:type="gramStart"/>
      <w:r>
        <w:rPr>
          <w:sz w:val="18"/>
        </w:rPr>
        <w:t>were decreased</w:t>
      </w:r>
      <w:proofErr w:type="gramEnd"/>
      <w:r>
        <w:rPr>
          <w:sz w:val="18"/>
        </w:rPr>
        <w:t xml:space="preserve"> lymphocytes (9%) and decreased hemoglobin (3.5%).</w:t>
      </w:r>
    </w:p>
    <w:p w14:paraId="4CF14744" w14:textId="77777777" w:rsidR="00284543" w:rsidRDefault="00671D17">
      <w:pPr>
        <w:pStyle w:val="Heading2"/>
        <w:ind w:left="10"/>
      </w:pPr>
      <w:r>
        <w:t>Unresectable or Metastatic</w:t>
      </w:r>
      <w:r>
        <w:rPr>
          <w:u w:val="none"/>
        </w:rPr>
        <w:t>,</w:t>
      </w:r>
      <w:r>
        <w:t xml:space="preserve"> HR-Positive</w:t>
      </w:r>
      <w:r>
        <w:rPr>
          <w:u w:val="none"/>
        </w:rPr>
        <w:t>,</w:t>
      </w:r>
      <w:r>
        <w:t xml:space="preserve"> HER2-Ne</w:t>
      </w:r>
      <w:r>
        <w:rPr>
          <w:u w:val="none"/>
        </w:rPr>
        <w:t>g</w:t>
      </w:r>
      <w:r>
        <w:t>ative Breast</w:t>
      </w:r>
    </w:p>
    <w:p w14:paraId="5F47C774" w14:textId="77777777" w:rsidR="00284543" w:rsidRDefault="00671D17">
      <w:pPr>
        <w:spacing w:after="21"/>
        <w:ind w:left="7"/>
      </w:pPr>
      <w:r>
        <w:rPr>
          <w:sz w:val="20"/>
          <w:u w:val="single" w:color="000000"/>
        </w:rPr>
        <w:t>Cancer</w:t>
      </w:r>
    </w:p>
    <w:p w14:paraId="5FBB9F7B" w14:textId="77777777" w:rsidR="00284543" w:rsidRDefault="00671D17">
      <w:pPr>
        <w:spacing w:after="59"/>
        <w:ind w:left="22"/>
      </w:pPr>
      <w:r>
        <w:rPr>
          <w:rFonts w:ascii="Times New Roman" w:eastAsia="Times New Roman" w:hAnsi="Times New Roman" w:cs="Times New Roman"/>
          <w:sz w:val="18"/>
        </w:rPr>
        <w:t>TROPION-Breast01</w:t>
      </w:r>
    </w:p>
    <w:tbl>
      <w:tblPr>
        <w:tblStyle w:val="TableGrid"/>
        <w:tblpPr w:vertAnchor="text" w:horzAnchor="margin" w:tblpY="1815"/>
        <w:tblOverlap w:val="never"/>
        <w:tblW w:w="10075" w:type="dxa"/>
        <w:tblInd w:w="0" w:type="dxa"/>
        <w:tblCellMar>
          <w:top w:w="0" w:type="dxa"/>
          <w:left w:w="0" w:type="dxa"/>
          <w:bottom w:w="0" w:type="dxa"/>
          <w:right w:w="241" w:type="dxa"/>
        </w:tblCellMar>
        <w:tblLook w:val="04A0" w:firstRow="1" w:lastRow="0" w:firstColumn="1" w:lastColumn="0" w:noHBand="0" w:noVBand="1"/>
      </w:tblPr>
      <w:tblGrid>
        <w:gridCol w:w="10075"/>
      </w:tblGrid>
      <w:tr w:rsidR="00284543" w14:paraId="6AEF1931" w14:textId="77777777">
        <w:trPr>
          <w:trHeight w:val="364"/>
        </w:trPr>
        <w:tc>
          <w:tcPr>
            <w:tcW w:w="9834" w:type="dxa"/>
            <w:tcBorders>
              <w:top w:val="nil"/>
              <w:left w:val="nil"/>
              <w:bottom w:val="nil"/>
              <w:right w:val="nil"/>
            </w:tcBorders>
          </w:tcPr>
          <w:p w14:paraId="3BE21291" w14:textId="77777777" w:rsidR="00284543" w:rsidRDefault="00671D17">
            <w:pPr>
              <w:spacing w:after="0"/>
              <w:ind w:firstLine="4046"/>
              <w:jc w:val="both"/>
            </w:pPr>
            <w:r>
              <w:rPr>
                <w:sz w:val="20"/>
              </w:rPr>
              <w:t>Please see accompanying full Prescribing Information, including Warnings O Daiichi-Sankyo AstraZeneca and Precautions, and Medication Guide.</w:t>
            </w:r>
          </w:p>
        </w:tc>
      </w:tr>
    </w:tbl>
    <w:p w14:paraId="71A668CE" w14:textId="77777777" w:rsidR="00284543" w:rsidRDefault="00671D17">
      <w:pPr>
        <w:spacing w:after="69" w:line="216" w:lineRule="auto"/>
        <w:ind w:left="3" w:right="357" w:hanging="3"/>
        <w:jc w:val="both"/>
      </w:pPr>
      <w:r>
        <w:rPr>
          <w:sz w:val="18"/>
        </w:rPr>
        <w:t>The safety of DATROWAY was evaluated in 360 patients with unresectable or metastatic HR-positive, HER2-negative (IHC O, IHCI+ or IHC2+/</w:t>
      </w:r>
      <w:proofErr w:type="spellStart"/>
      <w:r>
        <w:rPr>
          <w:sz w:val="18"/>
        </w:rPr>
        <w:t>lSH</w:t>
      </w:r>
      <w:proofErr w:type="spellEnd"/>
      <w:r>
        <w:rPr>
          <w:sz w:val="18"/>
        </w:rPr>
        <w:t>-) breast cancer who received at least</w:t>
      </w:r>
    </w:p>
    <w:p w14:paraId="180F985B" w14:textId="77777777" w:rsidR="00284543" w:rsidRDefault="00671D17">
      <w:pPr>
        <w:spacing w:after="0"/>
        <w:ind w:left="10" w:hanging="10"/>
      </w:pPr>
      <w:r>
        <w:t>Indication and Important Safety Information (continued)</w:t>
      </w:r>
    </w:p>
    <w:p w14:paraId="295495BB" w14:textId="77777777" w:rsidR="00284543" w:rsidRDefault="00671D17">
      <w:pPr>
        <w:pStyle w:val="Heading1"/>
        <w:spacing w:after="74"/>
        <w:ind w:left="3"/>
      </w:pPr>
      <w:r>
        <w:t>Adverse Reactions (continued)</w:t>
      </w:r>
    </w:p>
    <w:p w14:paraId="2D00E307" w14:textId="77777777" w:rsidR="00284543" w:rsidRDefault="00671D17">
      <w:pPr>
        <w:spacing w:after="0" w:line="218" w:lineRule="auto"/>
        <w:ind w:right="21" w:firstLine="5"/>
      </w:pPr>
      <w:r>
        <w:rPr>
          <w:sz w:val="18"/>
        </w:rPr>
        <w:t>one dose of DATROWAY 6 mg/kg in TROPION-Breast01. DATROWAY was administered by intravenous infusion once every three weeks. The median duration of treatment was 6.7 months (range: 0.7 months to 16.1 months) for patients who received</w:t>
      </w:r>
    </w:p>
    <w:p w14:paraId="161250F2" w14:textId="77777777" w:rsidR="00284543" w:rsidRDefault="00671D17">
      <w:pPr>
        <w:pStyle w:val="Heading1"/>
        <w:ind w:left="3"/>
      </w:pPr>
      <w:r>
        <w:t>DATROWAY</w:t>
      </w:r>
    </w:p>
    <w:p w14:paraId="57B81FBE" w14:textId="77777777" w:rsidR="00284543" w:rsidRDefault="00671D17">
      <w:pPr>
        <w:spacing w:after="67" w:line="218" w:lineRule="auto"/>
        <w:ind w:right="21" w:firstLine="5"/>
      </w:pPr>
      <w:r>
        <w:rPr>
          <w:sz w:val="18"/>
        </w:rPr>
        <w:t xml:space="preserve">Serious adverse reactions occurred in 15% of patients who received DATROWAY. Serious adverse reactions in &gt;0.5% of patients who received DATROWAY were urinary tract </w:t>
      </w:r>
      <w:proofErr w:type="gramStart"/>
      <w:r>
        <w:rPr>
          <w:sz w:val="18"/>
        </w:rPr>
        <w:t>infection</w:t>
      </w:r>
      <w:proofErr w:type="gramEnd"/>
      <w:r>
        <w:rPr>
          <w:sz w:val="18"/>
        </w:rPr>
        <w:t xml:space="preserve"> (1.9%), COVID-19 </w:t>
      </w:r>
      <w:proofErr w:type="gramStart"/>
      <w:r>
        <w:rPr>
          <w:sz w:val="18"/>
        </w:rPr>
        <w:t>infection</w:t>
      </w:r>
      <w:proofErr w:type="gramEnd"/>
      <w:r>
        <w:rPr>
          <w:sz w:val="18"/>
        </w:rPr>
        <w:t xml:space="preserve"> (1 .7%), ILD/pneumonitis (1.1%), acute kidney injury, pulmonary embolism, vomiting, diarrhea, hemiparesis, and anemia (0.6% each). Fatal adverse reactions occurred in 0.3% of patients who received DATROWAY and were due to ILD/pneumonitis.</w:t>
      </w:r>
    </w:p>
    <w:p w14:paraId="4DA68EF8" w14:textId="77777777" w:rsidR="00284543" w:rsidRDefault="00671D17">
      <w:pPr>
        <w:spacing w:after="69" w:line="216" w:lineRule="auto"/>
        <w:ind w:left="3" w:right="197" w:hanging="3"/>
        <w:jc w:val="both"/>
      </w:pPr>
      <w:r>
        <w:rPr>
          <w:sz w:val="18"/>
        </w:rPr>
        <w:t>Permanent discontinuation of DATROWAY due to an adverse reaction occurred in 3.1% of patients. Adverse reactions which resulted in permanent discontinuation of DATROWAY in &gt;0.5% of patients included ILD/pneumonitis (1 .7%) and fatigue (0.6%).</w:t>
      </w:r>
    </w:p>
    <w:p w14:paraId="09C79CDC" w14:textId="77777777" w:rsidR="00284543" w:rsidRDefault="00671D17">
      <w:pPr>
        <w:spacing w:after="67" w:line="218" w:lineRule="auto"/>
        <w:ind w:right="21" w:firstLine="5"/>
      </w:pPr>
      <w:r>
        <w:rPr>
          <w:sz w:val="18"/>
        </w:rPr>
        <w:t>Dosage interruptions of DATROWAY due to an adverse reaction occurred in 22% of patients. Adverse reactions which required dosage interruption in &gt; 1% of patients included COVID-19 (3.3%), infusion-related reaction (1.4%), ILD/pneumonitis (1.9%), stomatitis (1.9%), fatigue (1.7%), keratitis (1.4%), acute kidney injury (1.1%), and pneumonia (1 .1%).</w:t>
      </w:r>
    </w:p>
    <w:p w14:paraId="49D95274" w14:textId="77777777" w:rsidR="00284543" w:rsidRDefault="00671D17">
      <w:pPr>
        <w:spacing w:after="67" w:line="218" w:lineRule="auto"/>
        <w:ind w:right="21" w:firstLine="5"/>
      </w:pPr>
      <w:r>
        <w:rPr>
          <w:sz w:val="18"/>
        </w:rPr>
        <w:t>Dose reductions of DATROWAY due to an adverse reaction occurred in 23% of patients. Adverse reactions which required dose reduction in &gt;1% of patients included stomatitis (13%), fatigue (3.1%), nausea (2.5%), and weight decrease (1.9%).</w:t>
      </w:r>
    </w:p>
    <w:p w14:paraId="313CFE43" w14:textId="77777777" w:rsidR="00284543" w:rsidRDefault="00671D17">
      <w:pPr>
        <w:spacing w:after="0" w:line="216" w:lineRule="auto"/>
        <w:ind w:left="3" w:right="87" w:hanging="3"/>
        <w:jc w:val="both"/>
      </w:pPr>
      <w:r>
        <w:rPr>
          <w:sz w:val="18"/>
        </w:rPr>
        <w:t>The most common (220%) adverse reactions, including laboratory abnormalities, were stomatitis (59%), nausea (56%), fatigue (44%), decreased leukocytes (41 %), decreased calcium (39%), alopecia (38%), decreased lymphocytes (36%), decreased hemoglobin</w:t>
      </w:r>
    </w:p>
    <w:p w14:paraId="0BF32D2E" w14:textId="77777777" w:rsidR="00284543" w:rsidRDefault="00671D17">
      <w:pPr>
        <w:spacing w:after="69" w:line="216" w:lineRule="auto"/>
        <w:ind w:left="3" w:right="160" w:hanging="3"/>
        <w:jc w:val="both"/>
      </w:pPr>
      <w:r>
        <w:rPr>
          <w:sz w:val="18"/>
        </w:rPr>
        <w:t>(35%), constipation (34%), decreased neutrophils (30%), dry eye (27%), vomiting (24%), increased ALT (24%), keratitis (24%), increased AST (23%), and increased alkaline phosphatase (23%).</w:t>
      </w:r>
    </w:p>
    <w:p w14:paraId="0B18F337" w14:textId="77777777" w:rsidR="00284543" w:rsidRDefault="00671D17">
      <w:pPr>
        <w:spacing w:after="67" w:line="218" w:lineRule="auto"/>
        <w:ind w:right="21" w:firstLine="5"/>
      </w:pPr>
      <w:r>
        <w:rPr>
          <w:sz w:val="18"/>
        </w:rPr>
        <w:t>Clinically relevant adverse reactions occurring in &lt;10% of patients who received DATROWAY included infusion-related reactions (including bronchospasm), ILD/pneumonitis, headache, pruritus, dry skin, dry mouth, conjunctivitis, blepharitis, meibomian gland dysfunction, blurred vision, increased lacrimation, photophobia, visual impairment, skin hyperpigmentation, and madarosis.</w:t>
      </w:r>
    </w:p>
    <w:p w14:paraId="57372C9E" w14:textId="77777777" w:rsidR="00284543" w:rsidRDefault="00671D17">
      <w:pPr>
        <w:spacing w:after="67" w:line="218" w:lineRule="auto"/>
        <w:ind w:right="21" w:firstLine="5"/>
      </w:pPr>
      <w:r>
        <w:rPr>
          <w:sz w:val="18"/>
        </w:rPr>
        <w:t>Clinically relevant adverse reactions occurring in &lt;10% of patients who received DATROWAY included infusion-related reactions (including bronchospasm), ILD/pneumonitis, headache, pruritus, dry skin, dry mouth, conjunctivitis, blepharitis, meibomian gland dysfunction, blurred vision, increased lacrimation, photophobia, visual impairment, skin hyperpigmentation, and madarosis. Use in Specific Populations</w:t>
      </w:r>
    </w:p>
    <w:p w14:paraId="7AB7869B" w14:textId="77777777" w:rsidR="00284543" w:rsidRDefault="00671D17">
      <w:pPr>
        <w:numPr>
          <w:ilvl w:val="0"/>
          <w:numId w:val="2"/>
        </w:numPr>
        <w:spacing w:after="67" w:line="218" w:lineRule="auto"/>
        <w:ind w:right="21" w:hanging="131"/>
        <w:jc w:val="both"/>
      </w:pPr>
      <w:r>
        <w:rPr>
          <w:sz w:val="18"/>
        </w:rPr>
        <w:t xml:space="preserve">Pregnancy: Based on its mechanism of action, DATROWAY can cause embryo-fetal harm when administered to a pregnant woman because the topoisomerase inhibitor component of DATROWAY, </w:t>
      </w:r>
      <w:proofErr w:type="spellStart"/>
      <w:r>
        <w:rPr>
          <w:sz w:val="18"/>
        </w:rPr>
        <w:t>DXd</w:t>
      </w:r>
      <w:proofErr w:type="spellEnd"/>
      <w:r>
        <w:rPr>
          <w:sz w:val="18"/>
        </w:rPr>
        <w:t>, is genotoxic and affects actively dividing cells. There are no available data on the use of DATROWAY in pregnant women to inform a drug-associated risk. Advise patients of the potential risks to a fetus.</w:t>
      </w:r>
    </w:p>
    <w:p w14:paraId="6DB3E703" w14:textId="77777777" w:rsidR="00284543" w:rsidRDefault="00671D17">
      <w:pPr>
        <w:numPr>
          <w:ilvl w:val="0"/>
          <w:numId w:val="2"/>
        </w:numPr>
        <w:spacing w:after="67" w:line="218" w:lineRule="auto"/>
        <w:ind w:right="21" w:hanging="131"/>
        <w:jc w:val="both"/>
      </w:pPr>
      <w:r>
        <w:rPr>
          <w:sz w:val="18"/>
        </w:rPr>
        <w:t xml:space="preserve">Lactation: There are no data regarding the presence of </w:t>
      </w:r>
      <w:proofErr w:type="spellStart"/>
      <w:r>
        <w:rPr>
          <w:sz w:val="18"/>
        </w:rPr>
        <w:t>datopotamab</w:t>
      </w:r>
      <w:proofErr w:type="spellEnd"/>
      <w:r>
        <w:rPr>
          <w:sz w:val="18"/>
        </w:rPr>
        <w:t xml:space="preserve"> deruxtecan-</w:t>
      </w:r>
      <w:proofErr w:type="spellStart"/>
      <w:r>
        <w:rPr>
          <w:sz w:val="18"/>
        </w:rPr>
        <w:t>dlnk</w:t>
      </w:r>
      <w:proofErr w:type="spellEnd"/>
      <w:r>
        <w:rPr>
          <w:sz w:val="18"/>
        </w:rPr>
        <w:t xml:space="preserve"> or its metabolites in human milk, the effects on the breastfed child, or the effects on milk production. Because of the potential for serious adverse reactions in a breastfed child, advise women not to breastfeed during treatment with DATROWAY and for 1 month after the last dose.</w:t>
      </w:r>
    </w:p>
    <w:p w14:paraId="29B23DED" w14:textId="77777777" w:rsidR="00284543" w:rsidRDefault="00671D17">
      <w:pPr>
        <w:numPr>
          <w:ilvl w:val="0"/>
          <w:numId w:val="2"/>
        </w:numPr>
        <w:spacing w:after="69" w:line="216" w:lineRule="auto"/>
        <w:ind w:right="21" w:hanging="131"/>
        <w:jc w:val="both"/>
      </w:pPr>
      <w:r>
        <w:rPr>
          <w:sz w:val="18"/>
        </w:rPr>
        <w:t xml:space="preserve">Females and Males of Reproductive Potential: </w:t>
      </w:r>
      <w:r>
        <w:rPr>
          <w:sz w:val="18"/>
          <w:u w:val="single" w:color="000000"/>
        </w:rPr>
        <w:t>Pre</w:t>
      </w:r>
      <w:r>
        <w:rPr>
          <w:sz w:val="18"/>
        </w:rPr>
        <w:t>g</w:t>
      </w:r>
      <w:r>
        <w:rPr>
          <w:sz w:val="18"/>
          <w:u w:val="single" w:color="000000"/>
        </w:rPr>
        <w:t>nanc</w:t>
      </w:r>
      <w:r>
        <w:rPr>
          <w:sz w:val="18"/>
        </w:rPr>
        <w:t xml:space="preserve">y_ </w:t>
      </w:r>
      <w:r>
        <w:rPr>
          <w:sz w:val="18"/>
          <w:u w:val="single" w:color="000000"/>
        </w:rPr>
        <w:t>Testin</w:t>
      </w:r>
      <w:r>
        <w:rPr>
          <w:sz w:val="18"/>
        </w:rPr>
        <w:t xml:space="preserve">g; Verify pregnancy status of females of reproductive potential prior to initiation of DATROWAY. </w:t>
      </w:r>
      <w:r>
        <w:rPr>
          <w:sz w:val="18"/>
          <w:u w:val="single" w:color="000000"/>
        </w:rPr>
        <w:t xml:space="preserve">Contraception: </w:t>
      </w:r>
      <w:r>
        <w:rPr>
          <w:sz w:val="18"/>
        </w:rPr>
        <w:t>Females: Advise females of reproductive potential to use effective contraception during treatment with DATROWAY and for 7 months after the last dose. Males: Because of the potential for genotoxicity, advise male patients with female partners of reproductive potential to use effective contraception during treatment with DATROWAY and for 4 months after the last dose. Infertility: Ba</w:t>
      </w:r>
      <w:r>
        <w:rPr>
          <w:sz w:val="18"/>
        </w:rPr>
        <w:t>sed on findings in animal toxicity studies, DATROWAY may impair male and female reproductive function and fertility. The effects on reproductive organs in animals were irreversible.</w:t>
      </w:r>
    </w:p>
    <w:p w14:paraId="35FE6CDD" w14:textId="77777777" w:rsidR="00284543" w:rsidRDefault="00671D17">
      <w:pPr>
        <w:numPr>
          <w:ilvl w:val="0"/>
          <w:numId w:val="2"/>
        </w:numPr>
        <w:spacing w:after="69" w:line="216" w:lineRule="auto"/>
        <w:ind w:right="21" w:hanging="131"/>
        <w:jc w:val="both"/>
      </w:pPr>
      <w:r>
        <w:rPr>
          <w:sz w:val="18"/>
        </w:rPr>
        <w:t>Pediatric Use: Safety and effectiveness of DATROWAY have not been established in pediatric patients.</w:t>
      </w:r>
    </w:p>
    <w:p w14:paraId="7CA323DD" w14:textId="77777777" w:rsidR="00284543" w:rsidRDefault="00671D17">
      <w:pPr>
        <w:numPr>
          <w:ilvl w:val="0"/>
          <w:numId w:val="2"/>
        </w:numPr>
        <w:spacing w:after="111" w:line="218" w:lineRule="auto"/>
        <w:ind w:right="21" w:hanging="131"/>
        <w:jc w:val="both"/>
      </w:pPr>
      <w:r>
        <w:rPr>
          <w:sz w:val="18"/>
        </w:rPr>
        <w:t>Geriatric Use: Of the 365 patients in TROPION-Breast01 treated with DATROWAY 6 mg/kg, 25% were 265 years of age and 5% were 275 years of age. Grade 23 and serious adverse reactions were more common in patients 265 years (42% and 25%, respectively) compared to patients &lt;65 years (33% and 15%, respectively). In TROPION-Breast</w:t>
      </w:r>
      <w:proofErr w:type="gramStart"/>
      <w:r>
        <w:rPr>
          <w:sz w:val="18"/>
        </w:rPr>
        <w:t>01 ,</w:t>
      </w:r>
      <w:proofErr w:type="gramEnd"/>
      <w:r>
        <w:rPr>
          <w:sz w:val="18"/>
        </w:rPr>
        <w:t xml:space="preserve"> no other meaningful differences in safety or efficacy were observed between patients 265 years of age versus younger patients.</w:t>
      </w:r>
    </w:p>
    <w:p w14:paraId="19A3BD5D" w14:textId="77777777" w:rsidR="00284543" w:rsidRDefault="00671D17">
      <w:pPr>
        <w:numPr>
          <w:ilvl w:val="0"/>
          <w:numId w:val="2"/>
        </w:numPr>
        <w:spacing w:after="69" w:line="216" w:lineRule="auto"/>
        <w:ind w:right="21" w:hanging="131"/>
        <w:jc w:val="both"/>
      </w:pPr>
      <w:r>
        <w:rPr>
          <w:sz w:val="18"/>
        </w:rPr>
        <w:t>Renal Impairment: A higher incidence of ILD/pneumonitis has been observed in patients with mild and moderate renal impairment (creatinine clearance [</w:t>
      </w:r>
      <w:proofErr w:type="spellStart"/>
      <w:r>
        <w:rPr>
          <w:sz w:val="18"/>
        </w:rPr>
        <w:t>CLcr</w:t>
      </w:r>
      <w:proofErr w:type="spellEnd"/>
      <w:r>
        <w:rPr>
          <w:sz w:val="18"/>
        </w:rPr>
        <w:t>] 30 to &lt;90 mL/min). Monitor patients with renal impairment for increased adverse reactions, including respiratory reactions. No dosage adjustment is recommended in patients with mild to moderate renal impairment. The effect of severe renal impairment (</w:t>
      </w:r>
      <w:proofErr w:type="spellStart"/>
      <w:r>
        <w:rPr>
          <w:sz w:val="18"/>
        </w:rPr>
        <w:t>CLcr</w:t>
      </w:r>
      <w:proofErr w:type="spellEnd"/>
      <w:r>
        <w:rPr>
          <w:sz w:val="18"/>
        </w:rPr>
        <w:t xml:space="preserve"> &lt;30 mL/min) on the pharmacokinetics of </w:t>
      </w:r>
      <w:proofErr w:type="spellStart"/>
      <w:r>
        <w:rPr>
          <w:sz w:val="18"/>
        </w:rPr>
        <w:t>datopotamab</w:t>
      </w:r>
      <w:proofErr w:type="spellEnd"/>
      <w:r>
        <w:rPr>
          <w:sz w:val="18"/>
        </w:rPr>
        <w:t xml:space="preserve"> </w:t>
      </w:r>
      <w:proofErr w:type="spellStart"/>
      <w:r>
        <w:rPr>
          <w:sz w:val="18"/>
        </w:rPr>
        <w:t>deruxtecandlnk</w:t>
      </w:r>
      <w:proofErr w:type="spellEnd"/>
      <w:r>
        <w:rPr>
          <w:sz w:val="18"/>
        </w:rPr>
        <w:t xml:space="preserve"> or </w:t>
      </w:r>
      <w:proofErr w:type="spellStart"/>
      <w:r>
        <w:rPr>
          <w:sz w:val="18"/>
        </w:rPr>
        <w:t>DXd</w:t>
      </w:r>
      <w:proofErr w:type="spellEnd"/>
      <w:r>
        <w:rPr>
          <w:sz w:val="18"/>
        </w:rPr>
        <w:t xml:space="preserve"> is unknown.</w:t>
      </w:r>
    </w:p>
    <w:p w14:paraId="39A457CD" w14:textId="77777777" w:rsidR="00284543" w:rsidRDefault="00671D17">
      <w:pPr>
        <w:numPr>
          <w:ilvl w:val="0"/>
          <w:numId w:val="2"/>
        </w:numPr>
        <w:spacing w:after="69" w:line="216" w:lineRule="auto"/>
        <w:ind w:right="21" w:hanging="131"/>
        <w:jc w:val="both"/>
      </w:pPr>
      <w:r>
        <w:rPr>
          <w:sz w:val="18"/>
        </w:rPr>
        <w:t>Hepatic Impairment: No dosage adjustment is recommended in patients with mild hepatic impairment (total bilirubin SIJLN and any AST &gt;ULN or total bilirubin to 1.5 times ULN and any AST). Limited data are available in patients with moderate hepatic impairment (total bilirubin &gt; 1.5 to 3 times ULN and any AST). Monitor patients with moderate hepatic impairment for increased adverse reactions. The recommended dosage of DATROWAY has not been established for patients with severe hepatic impairment (total bilirub</w:t>
      </w:r>
      <w:r>
        <w:rPr>
          <w:sz w:val="18"/>
        </w:rPr>
        <w:t>in &gt;3 times ULN and any AST).</w:t>
      </w:r>
    </w:p>
    <w:p w14:paraId="70C92418" w14:textId="77777777" w:rsidR="00284543" w:rsidRDefault="00671D17">
      <w:pPr>
        <w:spacing w:after="91" w:line="218" w:lineRule="auto"/>
        <w:ind w:right="21" w:firstLine="5"/>
      </w:pPr>
      <w:r>
        <w:rPr>
          <w:sz w:val="18"/>
        </w:rPr>
        <w:t>To report SUSPECTED ADVERSE REACTIONS, contact Daiichi Sankyo, Inc. at 1-877-437-7763 or FDA at 1-800-FDA-1088 or fda.gov/</w:t>
      </w:r>
      <w:proofErr w:type="spellStart"/>
      <w:r>
        <w:rPr>
          <w:sz w:val="18"/>
        </w:rPr>
        <w:t>medwatch</w:t>
      </w:r>
      <w:proofErr w:type="spellEnd"/>
      <w:r>
        <w:rPr>
          <w:sz w:val="18"/>
        </w:rPr>
        <w:t>.</w:t>
      </w:r>
    </w:p>
    <w:p w14:paraId="6F7A97A4" w14:textId="77777777" w:rsidR="00284543" w:rsidRDefault="00671D17">
      <w:pPr>
        <w:spacing w:after="25"/>
        <w:ind w:left="3" w:hanging="3"/>
      </w:pPr>
      <w:r>
        <w:rPr>
          <w:sz w:val="20"/>
        </w:rPr>
        <w:t>Please click here for full Prescribing Information, including WARNINGS AND PRECAUTIONS, and click here for Medication Guide.</w:t>
      </w:r>
    </w:p>
    <w:p w14:paraId="4D185036" w14:textId="77777777" w:rsidR="00284543" w:rsidRDefault="00284543">
      <w:pPr>
        <w:sectPr w:rsidR="00284543">
          <w:type w:val="continuous"/>
          <w:pgSz w:w="12240" w:h="15840"/>
          <w:pgMar w:top="350" w:right="1086" w:bottom="510" w:left="1079" w:header="720" w:footer="720" w:gutter="0"/>
          <w:cols w:num="2" w:space="234"/>
        </w:sectPr>
      </w:pPr>
    </w:p>
    <w:p w14:paraId="38C9F52B" w14:textId="77777777" w:rsidR="00284543" w:rsidRDefault="00671D17">
      <w:pPr>
        <w:spacing w:after="483" w:line="216" w:lineRule="auto"/>
        <w:ind w:left="3" w:hanging="3"/>
        <w:jc w:val="both"/>
      </w:pPr>
      <w:r>
        <w:rPr>
          <w:sz w:val="18"/>
        </w:rPr>
        <w:lastRenderedPageBreak/>
        <w:t xml:space="preserve">ADC, antibody-drug conjugate; ALT, alanine aminotransferase; AST, aspartate aminotransferase; </w:t>
      </w:r>
      <w:proofErr w:type="spellStart"/>
      <w:r>
        <w:rPr>
          <w:sz w:val="18"/>
        </w:rPr>
        <w:t>CLcr</w:t>
      </w:r>
      <w:proofErr w:type="spellEnd"/>
      <w:r>
        <w:rPr>
          <w:sz w:val="18"/>
        </w:rPr>
        <w:t>, creatinine clearance; CME, continuing medical education; HER2, human epidermal growth factor 2; HR, hormone receptor; IHC, immunohistochemistry; ILD, interstitial lung disease; ISH, in situ hybridization; kg, kilogram; mg, milligram; min, minute; mL, milliliter; PhRMA, pharmaceutical research and manufacturers of America; Trop2, trophoblast cell surface antigen 2; ULN, upper limit of normal.</w:t>
      </w:r>
    </w:p>
    <w:p w14:paraId="36CF4C63" w14:textId="77777777" w:rsidR="00284543" w:rsidRDefault="00671D17">
      <w:pPr>
        <w:spacing w:after="0" w:line="216" w:lineRule="auto"/>
        <w:ind w:right="1319" w:firstLine="4046"/>
      </w:pPr>
      <w:proofErr w:type="gramStart"/>
      <w:r>
        <w:rPr>
          <w:sz w:val="14"/>
        </w:rPr>
        <w:t>DATROWAY@</w:t>
      </w:r>
      <w:proofErr w:type="gramEnd"/>
      <w:r>
        <w:rPr>
          <w:sz w:val="14"/>
        </w:rPr>
        <w:t xml:space="preserve"> is a registered trademark of Daiichi Sankyo Company, Limited. O Daiichi-Sankyo AstraZeneca 0 2025 Daiichi Sankyo, Inc. and AstraZeneca. PP-US-DTB-0436.</w:t>
      </w:r>
    </w:p>
    <w:p w14:paraId="49B23CAB" w14:textId="77777777" w:rsidR="00284543" w:rsidRDefault="00671D17">
      <w:pPr>
        <w:spacing w:after="0"/>
        <w:ind w:right="875"/>
        <w:jc w:val="center"/>
      </w:pPr>
      <w:r>
        <w:rPr>
          <w:sz w:val="14"/>
        </w:rPr>
        <w:t>US-102090. 06/25.</w:t>
      </w:r>
    </w:p>
    <w:sectPr w:rsidR="00284543">
      <w:type w:val="continuous"/>
      <w:pgSz w:w="12240" w:h="15840"/>
      <w:pgMar w:top="350" w:right="1137" w:bottom="510" w:left="10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w14:anchorId="55CE49A1" id="4468" o:spid="_x0000_i1025" style="width:3pt;height:2.5pt" coordsize="" o:spt="100" o:bullet="t" adj="0,,0" path="" stroked="f">
        <v:stroke joinstyle="miter"/>
        <v:imagedata r:id="rId1" o:title="image5"/>
        <v:formulas/>
        <v:path o:connecttype="segments"/>
      </v:shape>
    </w:pict>
  </w:numPicBullet>
  <w:abstractNum w:abstractNumId="0" w15:restartNumberingAfterBreak="0">
    <w:nsid w:val="1A42119D"/>
    <w:multiLevelType w:val="hybridMultilevel"/>
    <w:tmpl w:val="F4B8FFB0"/>
    <w:lvl w:ilvl="0" w:tplc="C7C68F64">
      <w:start w:val="1"/>
      <w:numFmt w:val="bullet"/>
      <w:lvlText w:val="•"/>
      <w:lvlPicBulletId w:val="0"/>
      <w:lvlJc w:val="left"/>
      <w:pPr>
        <w:ind w:left="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2B62804">
      <w:start w:val="1"/>
      <w:numFmt w:val="bullet"/>
      <w:lvlText w:val="o"/>
      <w:lvlJc w:val="left"/>
      <w:pPr>
        <w:ind w:left="12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146CFF0">
      <w:start w:val="1"/>
      <w:numFmt w:val="bullet"/>
      <w:lvlText w:val="▪"/>
      <w:lvlJc w:val="left"/>
      <w:pPr>
        <w:ind w:left="19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CBA0216">
      <w:start w:val="1"/>
      <w:numFmt w:val="bullet"/>
      <w:lvlText w:val="•"/>
      <w:lvlJc w:val="left"/>
      <w:pPr>
        <w:ind w:left="27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4B41084">
      <w:start w:val="1"/>
      <w:numFmt w:val="bullet"/>
      <w:lvlText w:val="o"/>
      <w:lvlJc w:val="left"/>
      <w:pPr>
        <w:ind w:left="34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85CF48E">
      <w:start w:val="1"/>
      <w:numFmt w:val="bullet"/>
      <w:lvlText w:val="▪"/>
      <w:lvlJc w:val="left"/>
      <w:pPr>
        <w:ind w:left="41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D661B48">
      <w:start w:val="1"/>
      <w:numFmt w:val="bullet"/>
      <w:lvlText w:val="•"/>
      <w:lvlJc w:val="left"/>
      <w:pPr>
        <w:ind w:left="48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7643C8E">
      <w:start w:val="1"/>
      <w:numFmt w:val="bullet"/>
      <w:lvlText w:val="o"/>
      <w:lvlJc w:val="left"/>
      <w:pPr>
        <w:ind w:left="55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4C03532">
      <w:start w:val="1"/>
      <w:numFmt w:val="bullet"/>
      <w:lvlText w:val="▪"/>
      <w:lvlJc w:val="left"/>
      <w:pPr>
        <w:ind w:left="63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F1973C8"/>
    <w:multiLevelType w:val="hybridMultilevel"/>
    <w:tmpl w:val="020256F0"/>
    <w:lvl w:ilvl="0" w:tplc="9AAC3CE0">
      <w:start w:val="1"/>
      <w:numFmt w:val="bullet"/>
      <w:lvlText w:val="•"/>
      <w:lvlJc w:val="left"/>
      <w:pPr>
        <w:ind w:left="1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8A0DCCA">
      <w:start w:val="1"/>
      <w:numFmt w:val="bullet"/>
      <w:lvlText w:val="o"/>
      <w:lvlJc w:val="left"/>
      <w:pPr>
        <w:ind w:left="1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F404E62">
      <w:start w:val="1"/>
      <w:numFmt w:val="bullet"/>
      <w:lvlText w:val="▪"/>
      <w:lvlJc w:val="left"/>
      <w:pPr>
        <w:ind w:left="1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D4ECB7E">
      <w:start w:val="1"/>
      <w:numFmt w:val="bullet"/>
      <w:lvlText w:val="•"/>
      <w:lvlJc w:val="left"/>
      <w:pPr>
        <w:ind w:left="2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826CD92">
      <w:start w:val="1"/>
      <w:numFmt w:val="bullet"/>
      <w:lvlText w:val="o"/>
      <w:lvlJc w:val="left"/>
      <w:pPr>
        <w:ind w:left="3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E5C24EA">
      <w:start w:val="1"/>
      <w:numFmt w:val="bullet"/>
      <w:lvlText w:val="▪"/>
      <w:lvlJc w:val="left"/>
      <w:pPr>
        <w:ind w:left="3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4862272">
      <w:start w:val="1"/>
      <w:numFmt w:val="bullet"/>
      <w:lvlText w:val="•"/>
      <w:lvlJc w:val="left"/>
      <w:pPr>
        <w:ind w:left="4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52CB9A0">
      <w:start w:val="1"/>
      <w:numFmt w:val="bullet"/>
      <w:lvlText w:val="o"/>
      <w:lvlJc w:val="left"/>
      <w:pPr>
        <w:ind w:left="54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914BA48">
      <w:start w:val="1"/>
      <w:numFmt w:val="bullet"/>
      <w:lvlText w:val="▪"/>
      <w:lvlJc w:val="left"/>
      <w:pPr>
        <w:ind w:left="61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16cid:durableId="193202486">
    <w:abstractNumId w:val="0"/>
  </w:num>
  <w:num w:numId="2" w16cid:durableId="1488208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543"/>
    <w:rsid w:val="001D2407"/>
    <w:rsid w:val="00284543"/>
    <w:rsid w:val="00671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535BA48"/>
  <w15:docId w15:val="{D3834B4B-9177-419B-9EA0-83FB252B4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5" w:line="259" w:lineRule="auto"/>
      <w:ind w:left="18" w:hanging="3"/>
      <w:outlineLvl w:val="0"/>
    </w:pPr>
    <w:rPr>
      <w:rFonts w:ascii="Calibri" w:eastAsia="Calibri" w:hAnsi="Calibri" w:cs="Calibri"/>
      <w:color w:val="000000"/>
      <w:sz w:val="20"/>
    </w:rPr>
  </w:style>
  <w:style w:type="paragraph" w:styleId="Heading2">
    <w:name w:val="heading 2"/>
    <w:next w:val="Normal"/>
    <w:link w:val="Heading2Char"/>
    <w:uiPriority w:val="9"/>
    <w:unhideWhenUsed/>
    <w:qFormat/>
    <w:pPr>
      <w:keepNext/>
      <w:keepLines/>
      <w:spacing w:after="0" w:line="259" w:lineRule="auto"/>
      <w:ind w:left="25" w:hanging="10"/>
      <w:outlineLvl w:val="1"/>
    </w:pPr>
    <w:rPr>
      <w:rFonts w:ascii="Calibri" w:eastAsia="Calibri" w:hAnsi="Calibri" w:cs="Calibri"/>
      <w:color w:val="000000"/>
      <w:sz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18"/>
      <w:u w:val="single" w:color="000000"/>
    </w:rPr>
  </w:style>
  <w:style w:type="character" w:customStyle="1" w:styleId="Heading1Char">
    <w:name w:val="Heading 1 Char"/>
    <w:link w:val="Heading1"/>
    <w:rPr>
      <w:rFonts w:ascii="Calibri" w:eastAsia="Calibri" w:hAnsi="Calibri" w:cs="Calibr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19.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2309</Words>
  <Characters>14203</Characters>
  <Application>Microsoft Office Word</Application>
  <DocSecurity>4</DocSecurity>
  <Lines>305</Lines>
  <Paragraphs>91</Paragraphs>
  <ScaleCrop>false</ScaleCrop>
  <Company/>
  <LinksUpToDate>false</LinksUpToDate>
  <CharactersWithSpaces>16427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Generated Document</dc:title>
  <dc:subject/>
  <dc:creator>Matthews, Laura</dc:creator>
  <cp:keywords/>
  <cp:lastModifiedBy>Matthews, Laura</cp:lastModifiedBy>
  <cp:revision>2</cp:revision>
  <dcterms:created xsi:type="dcterms:W3CDTF">2026-04-13T18:38:00Z</dcterms:created>
  <dcterms:modified xsi:type="dcterms:W3CDTF">2026-04-13T18:38:00Z</dcterms:modified>
</cp:coreProperties>
</file>