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00" w:right="600" w:firstLine="0"/>
        <w:rPr>
          <w:rFonts w:ascii="Calibri" w:cs="Calibri" w:eastAsia="Calibri" w:hAnsi="Calibri"/>
          <w:b w:val="1"/>
          <w:color w:val="21212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36"/>
          <w:szCs w:val="36"/>
          <w:highlight w:val="white"/>
          <w:rtl w:val="0"/>
        </w:rPr>
        <w:t xml:space="preserve">THE JUSTICE IN POLICING ACT OF 2020</w:t>
      </w:r>
    </w:p>
    <w:p w:rsidR="00000000" w:rsidDel="00000000" w:rsidP="00000000" w:rsidRDefault="00000000" w:rsidRPr="00000000" w14:paraId="00000002">
      <w:pPr>
        <w:ind w:left="600" w:right="600" w:firstLine="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00" w:right="600" w:firstLine="0"/>
        <w:rPr>
          <w:rFonts w:ascii="Calibri" w:cs="Calibri" w:eastAsia="Calibri" w:hAnsi="Calibri"/>
          <w:b w:val="1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highlight w:val="white"/>
          <w:rtl w:val="0"/>
        </w:rPr>
        <w:t xml:space="preserve">Bill highlights include </w:t>
      </w:r>
    </w:p>
    <w:p w:rsidR="00000000" w:rsidDel="00000000" w:rsidP="00000000" w:rsidRDefault="00000000" w:rsidRPr="00000000" w14:paraId="00000004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Grant power to the </w:t>
      </w:r>
      <w:hyperlink r:id="rId6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Justice Department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's </w:t>
      </w:r>
      <w:hyperlink r:id="rId7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Civil Rights Division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to issue </w:t>
      </w:r>
      <w:hyperlink r:id="rId8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subpoenas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to police departments as part of "pattern or practice" investigations into whether there has been a "pattern and practice" of bias or misconduct by the department</w:t>
      </w:r>
      <w:hyperlink r:id="rId9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[3]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Provide grants to </w:t>
      </w:r>
      <w:hyperlink r:id="rId10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state attorneys general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to "create an independent process to investigate misconduct or excessive use of force" by police forces</w:t>
      </w:r>
      <w:hyperlink r:id="rId11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[4]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Establish a federal registry of police misconduct complaints and disciplinary actions</w:t>
      </w:r>
      <w:hyperlink r:id="rId12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[4]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Enhance accountability for police officers who commit misconduct, including by restricting the application of the </w:t>
      </w:r>
      <w:hyperlink r:id="rId13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qualified immunity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doctrine,</w:t>
      </w:r>
      <w:hyperlink r:id="rId14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[3]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and by changing the federal statute on police violation of constitutional rights to lower the standard of criminal intent from violation conducted "willfully" to a violation "knowingly or with reckless disregard"</w:t>
      </w:r>
      <w:hyperlink r:id="rId15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Require federal uniformed police officers to have </w:t>
      </w:r>
      <w:hyperlink r:id="rId16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body-worn cameras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[4]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Require marked federal police vehicles to be equipped with </w:t>
      </w:r>
      <w:hyperlink r:id="rId19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dashboard cameras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.</w:t>
      </w:r>
      <w:hyperlink r:id="rId20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[4]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Require state and local law enforcement agencies that receive federal funding to "ensure" the use of body-worn and dashboard cameras.</w:t>
      </w:r>
      <w:hyperlink r:id="rId21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lineRule="auto"/>
        <w:ind w:left="980" w:right="600" w:firstLine="0"/>
        <w:rPr>
          <w:rFonts w:ascii="Calibri" w:cs="Calibri" w:eastAsia="Calibri" w:hAnsi="Calibri"/>
          <w:color w:val="2021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Restrict the transfer of military equipment to police</w:t>
      </w:r>
      <w:hyperlink r:id="rId22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[4]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(see </w:t>
      </w:r>
      <w:hyperlink r:id="rId23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1033 program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, </w:t>
      </w:r>
      <w:hyperlink r:id="rId24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militarization of police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Require state and local law enforcement agencies that receive federal funding to adopt anti-discrimination policies and training programs, including those targeted at fighting </w:t>
      </w:r>
      <w:hyperlink r:id="rId25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racial profiling</w:t>
        </w:r>
      </w:hyperlink>
      <w:hyperlink r:id="rId26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Prohibit federal police officers from using </w:t>
      </w:r>
      <w:hyperlink r:id="rId27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chokeholds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or other </w:t>
      </w:r>
      <w:hyperlink r:id="rId28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carotid holds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(which led to the deaths of George Floyd and </w:t>
      </w:r>
      <w:hyperlink r:id="rId29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Eric Garner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), and require state and local law enforcement agencies that receive federal funding to adopt the same prohibition</w:t>
      </w:r>
      <w:hyperlink r:id="rId30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Prohibit the issuance of </w:t>
      </w:r>
      <w:hyperlink r:id="rId31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no-knock warrants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(warrants that allow police to conduct a raid without knocking or announcing themselves) in federal drug investigations, and provide incentives to the states to enact a similar prohibition.</w:t>
      </w:r>
      <w:hyperlink r:id="rId32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Change the threshold for the permissible use of force by federal law enforcement officers from "reasonableness" to only when "necessary to prevent death or serious bodily injury."</w:t>
      </w:r>
      <w:hyperlink r:id="rId33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lineRule="auto"/>
        <w:ind w:left="980" w:right="600" w:firstLine="0"/>
        <w:rPr>
          <w:rFonts w:ascii="Calibri" w:cs="Calibri" w:eastAsia="Calibri" w:hAnsi="Calibri"/>
          <w:color w:val="0b0080"/>
          <w:highlight w:val="white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Mandate that federal officers use </w:t>
      </w:r>
      <w:hyperlink r:id="rId34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rtl w:val="0"/>
          </w:rPr>
          <w:t xml:space="preserve">deadly force</w:t>
        </w:r>
      </w:hyperlink>
      <w:r w:rsidDel="00000000" w:rsidR="00000000" w:rsidRPr="00000000">
        <w:rPr>
          <w:rFonts w:ascii="Calibri" w:cs="Calibri" w:eastAsia="Calibri" w:hAnsi="Calibri"/>
          <w:color w:val="202122"/>
          <w:highlight w:val="white"/>
          <w:rtl w:val="0"/>
        </w:rPr>
        <w:t xml:space="preserve"> only as a last resort and that de-escalation be attempted, and condition federal funding to state and local law enforcement agencies on the adoption of the same policy.</w:t>
      </w:r>
      <w:hyperlink r:id="rId35">
        <w:r w:rsidDel="00000000" w:rsidR="00000000" w:rsidRPr="00000000">
          <w:rPr>
            <w:rFonts w:ascii="Calibri" w:cs="Calibri" w:eastAsia="Calibri" w:hAnsi="Calibri"/>
            <w:color w:val="0b0080"/>
            <w:highlight w:val="white"/>
            <w:u w:val="single"/>
            <w:vertAlign w:val="superscript"/>
            <w:rtl w:val="0"/>
          </w:rPr>
          <w:t xml:space="preserve">[2]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Justice_in_Policing_Act_of_2020#cite_note-CaldwellShabad-4" TargetMode="External"/><Relationship Id="rId22" Type="http://schemas.openxmlformats.org/officeDocument/2006/relationships/hyperlink" Target="https://en.wikipedia.org/wiki/Justice_in_Policing_Act_of_2020#cite_note-CaldwellShabad-4" TargetMode="External"/><Relationship Id="rId21" Type="http://schemas.openxmlformats.org/officeDocument/2006/relationships/hyperlink" Target="https://en.wikipedia.org/wiki/Justice_in_Policing_Act_of_2020#cite_note-Fandos-2" TargetMode="External"/><Relationship Id="rId24" Type="http://schemas.openxmlformats.org/officeDocument/2006/relationships/hyperlink" Target="https://en.wikipedia.org/wiki/Militarization_of_police" TargetMode="External"/><Relationship Id="rId23" Type="http://schemas.openxmlformats.org/officeDocument/2006/relationships/hyperlink" Target="https://en.wikipedia.org/wiki/1033_progra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Justice_in_Policing_Act_of_2020#cite_note-KaneWagner-3" TargetMode="External"/><Relationship Id="rId26" Type="http://schemas.openxmlformats.org/officeDocument/2006/relationships/hyperlink" Target="https://en.wikipedia.org/wiki/Justice_in_Policing_Act_of_2020#cite_note-Fandos-2" TargetMode="External"/><Relationship Id="rId25" Type="http://schemas.openxmlformats.org/officeDocument/2006/relationships/hyperlink" Target="https://en.wikipedia.org/wiki/Racial_profiling" TargetMode="External"/><Relationship Id="rId28" Type="http://schemas.openxmlformats.org/officeDocument/2006/relationships/hyperlink" Target="https://en.wikipedia.org/wiki/Carotid_hold" TargetMode="External"/><Relationship Id="rId27" Type="http://schemas.openxmlformats.org/officeDocument/2006/relationships/hyperlink" Target="https://en.wikipedia.org/wiki/Chokehold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Justice_Department" TargetMode="External"/><Relationship Id="rId29" Type="http://schemas.openxmlformats.org/officeDocument/2006/relationships/hyperlink" Target="https://en.wikipedia.org/wiki/Death_of_Eric_Garner" TargetMode="External"/><Relationship Id="rId7" Type="http://schemas.openxmlformats.org/officeDocument/2006/relationships/hyperlink" Target="https://en.wikipedia.org/wiki/Civil_Rights_Division" TargetMode="External"/><Relationship Id="rId8" Type="http://schemas.openxmlformats.org/officeDocument/2006/relationships/hyperlink" Target="https://en.wikipedia.org/wiki/Subpoena" TargetMode="External"/><Relationship Id="rId31" Type="http://schemas.openxmlformats.org/officeDocument/2006/relationships/hyperlink" Target="https://en.wikipedia.org/wiki/No-knock_warrant" TargetMode="External"/><Relationship Id="rId30" Type="http://schemas.openxmlformats.org/officeDocument/2006/relationships/hyperlink" Target="https://en.wikipedia.org/wiki/Justice_in_Policing_Act_of_2020#cite_note-Fandos-2" TargetMode="External"/><Relationship Id="rId11" Type="http://schemas.openxmlformats.org/officeDocument/2006/relationships/hyperlink" Target="https://en.wikipedia.org/wiki/Justice_in_Policing_Act_of_2020#cite_note-CaldwellShabad-4" TargetMode="External"/><Relationship Id="rId33" Type="http://schemas.openxmlformats.org/officeDocument/2006/relationships/hyperlink" Target="https://en.wikipedia.org/wiki/Justice_in_Policing_Act_of_2020#cite_note-Fandos-2" TargetMode="External"/><Relationship Id="rId10" Type="http://schemas.openxmlformats.org/officeDocument/2006/relationships/hyperlink" Target="https://en.wikipedia.org/wiki/State_attorneys_general" TargetMode="External"/><Relationship Id="rId32" Type="http://schemas.openxmlformats.org/officeDocument/2006/relationships/hyperlink" Target="https://en.wikipedia.org/wiki/Justice_in_Policing_Act_of_2020#cite_note-Fandos-2" TargetMode="External"/><Relationship Id="rId13" Type="http://schemas.openxmlformats.org/officeDocument/2006/relationships/hyperlink" Target="https://en.wikipedia.org/wiki/Qualified_immunity" TargetMode="External"/><Relationship Id="rId35" Type="http://schemas.openxmlformats.org/officeDocument/2006/relationships/hyperlink" Target="https://en.wikipedia.org/wiki/Justice_in_Policing_Act_of_2020#cite_note-Fandos-2" TargetMode="External"/><Relationship Id="rId12" Type="http://schemas.openxmlformats.org/officeDocument/2006/relationships/hyperlink" Target="https://en.wikipedia.org/wiki/Justice_in_Policing_Act_of_2020#cite_note-CaldwellShabad-4" TargetMode="External"/><Relationship Id="rId34" Type="http://schemas.openxmlformats.org/officeDocument/2006/relationships/hyperlink" Target="https://en.wikipedia.org/wiki/Deadly_force" TargetMode="External"/><Relationship Id="rId15" Type="http://schemas.openxmlformats.org/officeDocument/2006/relationships/hyperlink" Target="https://en.wikipedia.org/wiki/Justice_in_Policing_Act_of_2020#cite_note-Fandos-2" TargetMode="External"/><Relationship Id="rId14" Type="http://schemas.openxmlformats.org/officeDocument/2006/relationships/hyperlink" Target="https://en.wikipedia.org/wiki/Justice_in_Policing_Act_of_2020#cite_note-KaneWagner-3" TargetMode="External"/><Relationship Id="rId17" Type="http://schemas.openxmlformats.org/officeDocument/2006/relationships/hyperlink" Target="https://en.wikipedia.org/wiki/Justice_in_Policing_Act_of_2020#cite_note-CaldwellShabad-4" TargetMode="External"/><Relationship Id="rId16" Type="http://schemas.openxmlformats.org/officeDocument/2006/relationships/hyperlink" Target="https://en.wikipedia.org/wiki/Body-worn_camera" TargetMode="External"/><Relationship Id="rId19" Type="http://schemas.openxmlformats.org/officeDocument/2006/relationships/hyperlink" Target="https://en.wikipedia.org/wiki/Dashboard_camera" TargetMode="External"/><Relationship Id="rId18" Type="http://schemas.openxmlformats.org/officeDocument/2006/relationships/hyperlink" Target="https://en.wikipedia.org/wiki/Justice_in_Policing_Act_of_2020#cite_note-Fando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