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Consent Agenda and Monthly Report from Legislation Committee</w:t>
      </w:r>
    </w:p>
    <w:p w:rsidR="00000000" w:rsidDel="00000000" w:rsidP="00000000" w:rsidRDefault="00000000" w:rsidRPr="00000000" w14:paraId="00000002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Created January 6, 2022</w:t>
      </w:r>
    </w:p>
    <w:p w:rsidR="00000000" w:rsidDel="00000000" w:rsidP="00000000" w:rsidRDefault="00000000" w:rsidRPr="00000000" w14:paraId="00000003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Legislative Chairpersons:  Gail Hall, Committee members: Eileen Gavin, Gina Emge</w:t>
      </w:r>
    </w:p>
    <w:p w:rsidR="00000000" w:rsidDel="00000000" w:rsidP="00000000" w:rsidRDefault="00000000" w:rsidRPr="00000000" w14:paraId="00000004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Monthly Report: January, 2022</w:t>
      </w:r>
    </w:p>
    <w:p w:rsidR="00000000" w:rsidDel="00000000" w:rsidP="00000000" w:rsidRDefault="00000000" w:rsidRPr="00000000" w14:paraId="00000005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Past Activities: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Gov.net - Followed multiple (144) bills related to: public school education, school nursing/school age-child health.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Reviewed daily alerts/postings from gov.net.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Corresponded with school nurses and executive board members who had questions in reference to school nursing legislative issues.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.0005454545455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Updates for posting to the Hot Topics and legislation page of the NJSSNA website.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Frequent communication with Fran Pfeffer NJEA lobbyist and Christina Zuk (PPAG)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Zuk continues to update Exec board about status of State School Nurse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NJEA is asking NJSSNA members to join this important call to action to support continued state mask mandates.  Please read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NJEA: Failure to extend school mask mandate is educational malpractice</w:t>
        </w:r>
      </w:hyperlink>
      <w:r w:rsidDel="00000000" w:rsidR="00000000" w:rsidRPr="00000000">
        <w:rPr>
          <w:rtl w:val="0"/>
        </w:rPr>
        <w:t xml:space="preserve"> and scroll down to the bottom of the article to submit a letter of support.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.0005454545455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Robin testified before the Senate Education Committee 1/6/22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link</w:t>
        </w:r>
      </w:hyperlink>
      <w:r w:rsidDel="00000000" w:rsidR="00000000" w:rsidRPr="00000000">
        <w:rPr>
          <w:sz w:val="24"/>
          <w:szCs w:val="24"/>
          <w:rtl w:val="0"/>
        </w:rPr>
        <w:t xml:space="preserve"> (Robin can be heard at 2:30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76.0005454545455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Pulled from the Consent Agenda for Discussion</w:t>
            </w:r>
          </w:p>
        </w:tc>
      </w:tr>
    </w:tbl>
    <w:p w:rsidR="00000000" w:rsidDel="00000000" w:rsidP="00000000" w:rsidRDefault="00000000" w:rsidRPr="00000000" w14:paraId="00000010">
      <w:pPr>
        <w:spacing w:line="276.0005454545455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.0005454545455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Mask mandates </w:t>
      </w:r>
    </w:p>
    <w:p w:rsidR="00000000" w:rsidDel="00000000" w:rsidP="00000000" w:rsidRDefault="00000000" w:rsidRPr="00000000" w14:paraId="00000012">
      <w:pPr>
        <w:shd w:fill="ffffff" w:val="clear"/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76.0005454545455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Laws</w:t>
            </w:r>
          </w:p>
        </w:tc>
      </w:tr>
    </w:tbl>
    <w:p w:rsidR="00000000" w:rsidDel="00000000" w:rsidP="00000000" w:rsidRDefault="00000000" w:rsidRPr="00000000" w14:paraId="00000014">
      <w:pPr>
        <w:spacing w:line="276.000545454545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P.L.2021, c.296</w:t>
      </w:r>
      <w:r w:rsidDel="00000000" w:rsidR="00000000" w:rsidRPr="00000000">
        <w:rPr>
          <w:sz w:val="24"/>
          <w:szCs w:val="24"/>
          <w:rtl w:val="0"/>
        </w:rPr>
        <w:t xml:space="preserve">-Signed by the Governor 11/8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.0005454545455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Permits school nurse who is retired from TPAF to return to employment for up to two years without reenrollment in TPAF.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P.L.2021, c.237</w:t>
      </w:r>
      <w:r w:rsidDel="00000000" w:rsidR="00000000" w:rsidRPr="00000000">
        <w:rPr>
          <w:sz w:val="24"/>
          <w:szCs w:val="24"/>
          <w:rtl w:val="0"/>
        </w:rPr>
        <w:t xml:space="preserve">. 9/28/21 Signed by the Governor</w:t>
      </w:r>
    </w:p>
    <w:p w:rsidR="00000000" w:rsidDel="00000000" w:rsidP="00000000" w:rsidRDefault="00000000" w:rsidRPr="00000000" w14:paraId="00000017">
      <w:pPr>
        <w:spacing w:line="328.7994545454546" w:lineRule="auto"/>
        <w:ind w:left="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Establishes Mental Health Screening in Schools Grant Program in DOE; appropriates $1 million.</w:t>
      </w:r>
    </w:p>
    <w:p w:rsidR="00000000" w:rsidDel="00000000" w:rsidP="00000000" w:rsidRDefault="00000000" w:rsidRPr="00000000" w14:paraId="00000018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P.L.2021, c.73.-</w:t>
      </w:r>
      <w:r w:rsidDel="00000000" w:rsidR="00000000" w:rsidRPr="00000000">
        <w:rPr>
          <w:sz w:val="24"/>
          <w:szCs w:val="24"/>
          <w:rtl w:val="0"/>
        </w:rPr>
        <w:t xml:space="preserve">04/30/2021 – Signed by the Governor</w:t>
      </w:r>
    </w:p>
    <w:p w:rsidR="00000000" w:rsidDel="00000000" w:rsidP="00000000" w:rsidRDefault="00000000" w:rsidRPr="00000000" w14:paraId="00000019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 Requires health benefits coverage for adolescent depression screenings.</w:t>
      </w:r>
    </w:p>
    <w:p w:rsidR="00000000" w:rsidDel="00000000" w:rsidP="00000000" w:rsidRDefault="00000000" w:rsidRPr="00000000" w14:paraId="0000001A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P.L.2021, c.77.</w:t>
      </w:r>
      <w:r w:rsidDel="00000000" w:rsidR="00000000" w:rsidRPr="00000000">
        <w:rPr>
          <w:sz w:val="24"/>
          <w:szCs w:val="24"/>
          <w:rtl w:val="0"/>
        </w:rPr>
        <w:t xml:space="preserve"> 05/05/2021 – Signed by the Governor P.L.2021, c.77.</w:t>
      </w:r>
    </w:p>
    <w:p w:rsidR="00000000" w:rsidDel="00000000" w:rsidP="00000000" w:rsidRDefault="00000000" w:rsidRPr="00000000" w14:paraId="0000001B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Summary: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This bill requires the State to award a contract for the purchase COVID-19 related goods and services by school districts.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28.799454545454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.0005454545455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2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.0005454545455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Bills on the Move</w:t>
            </w:r>
          </w:p>
        </w:tc>
      </w:tr>
    </w:tbl>
    <w:p w:rsidR="00000000" w:rsidDel="00000000" w:rsidP="00000000" w:rsidRDefault="00000000" w:rsidRPr="00000000" w14:paraId="00000020">
      <w:pPr>
        <w:pStyle w:val="Heading3"/>
        <w:keepNext w:val="0"/>
        <w:keepLines w:val="0"/>
        <w:spacing w:before="280" w:line="297.2312307692308" w:lineRule="auto"/>
        <w:rPr>
          <w:rFonts w:ascii="Verdana" w:cs="Verdana" w:eastAsia="Verdana" w:hAnsi="Verdana"/>
          <w:b w:val="1"/>
          <w:color w:val="000000"/>
          <w:sz w:val="26"/>
          <w:szCs w:val="26"/>
        </w:rPr>
      </w:pPr>
      <w:bookmarkStart w:colFirst="0" w:colLast="0" w:name="_1drisq9runec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Legislative Chairperson Gail Hall with committee members Eileen Gavin and Gina Emge  (2021-2022)</w:t>
      </w:r>
    </w:p>
    <w:tbl>
      <w:tblPr>
        <w:tblStyle w:val="Table4"/>
        <w:tblW w:w="9240.0" w:type="dxa"/>
        <w:jc w:val="left"/>
        <w:tblInd w:w="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gridCol w:w="240"/>
        <w:tblGridChange w:id="0">
          <w:tblGrid>
            <w:gridCol w:w="9000"/>
            <w:gridCol w:w="240"/>
          </w:tblGrid>
        </w:tblGridChange>
      </w:tblGrid>
      <w:tr>
        <w:trPr>
          <w:cantSplit w:val="0"/>
          <w:trHeight w:val="191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328.7994545454546" w:lineRule="auto"/>
              <w:ind w:left="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Bill: A5727/S3726 Sca (1R) (2020)</w:t>
            </w:r>
          </w:p>
          <w:p w:rsidR="00000000" w:rsidDel="00000000" w:rsidP="00000000" w:rsidRDefault="00000000" w:rsidRPr="00000000" w14:paraId="00000022">
            <w:pPr>
              <w:spacing w:line="328.7994545454546" w:lineRule="auto"/>
              <w:ind w:left="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Summary: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Ensures student well-being during school security drills.</w:t>
            </w:r>
          </w:p>
          <w:p w:rsidR="00000000" w:rsidDel="00000000" w:rsidP="00000000" w:rsidRDefault="00000000" w:rsidRPr="00000000" w14:paraId="00000023">
            <w:pPr>
              <w:spacing w:line="328.799454545454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Status: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12/20/2021 – Substituted by another A-5727 (1R).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33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12/02/2021 – Amended on Senate floor, 2nd reading in Senate 29-0 (Weinberg)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28.799454545454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11/08/2021 – 2nd reading in the Senate; 1st House: 2nd Reading;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28.7994545454546" w:lineRule="auto"/>
              <w:ind w:left="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05/06/2021 – Introduced and referred to Senate Education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28.7994545454546" w:lineRule="auto"/>
              <w:ind w:left="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28.7994545454546" w:lineRule="auto"/>
              <w:ind w:left="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Bill:</w:t>
              <w:tab/>
              <w:t xml:space="preserve">A1599/S585(2020)</w:t>
            </w:r>
          </w:p>
          <w:p w:rsidR="00000000" w:rsidDel="00000000" w:rsidP="00000000" w:rsidRDefault="00000000" w:rsidRPr="00000000" w14:paraId="00000029">
            <w:pPr>
              <w:spacing w:line="328.7994545454546" w:lineRule="auto"/>
              <w:ind w:left="-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Summary:  Requires public school students with concussion to be evaluated by licensed health care professionals before returning to school; requires school districts to provide restrictions or limitations to students as needed.</w:t>
            </w:r>
          </w:p>
          <w:p w:rsidR="00000000" w:rsidDel="00000000" w:rsidP="00000000" w:rsidRDefault="00000000" w:rsidRPr="00000000" w14:paraId="0000002A">
            <w:pPr>
              <w:spacing w:line="328.7994545454546" w:lineRule="auto"/>
              <w:ind w:left="-8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Status:  06/21/2021 – Senate Education Committee (1599) as of 1/06/2022 No Movement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28.799454545454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28.799454545454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Bill: </w:t>
              <w:tab/>
              <w:t xml:space="preserve">S3723/A5419(2020)</w:t>
            </w:r>
          </w:p>
          <w:p w:rsidR="00000000" w:rsidDel="00000000" w:rsidP="00000000" w:rsidRDefault="00000000" w:rsidRPr="00000000" w14:paraId="0000002D">
            <w:pPr>
              <w:spacing w:line="328.7994545454546" w:lineRule="auto"/>
              <w:ind w:hanging="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Summary:  Requires DCF and DOE to establish policies and procedures relating to child abuse and neglect and child abuse prevention during certain public health emergencies.</w:t>
            </w:r>
          </w:p>
          <w:p w:rsidR="00000000" w:rsidDel="00000000" w:rsidP="00000000" w:rsidRDefault="00000000" w:rsidRPr="00000000" w14:paraId="0000002E">
            <w:pPr>
              <w:spacing w:line="328.7994545454546" w:lineRule="auto"/>
              <w:ind w:left="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Progress:  </w:t>
            </w:r>
          </w:p>
          <w:p w:rsidR="00000000" w:rsidDel="00000000" w:rsidP="00000000" w:rsidRDefault="00000000" w:rsidRPr="00000000" w14:paraId="0000002F">
            <w:pPr>
              <w:spacing w:line="33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12/09/2021–Referred to Senate Budget and Appropriations Committee.</w:t>
            </w:r>
          </w:p>
          <w:p w:rsidR="00000000" w:rsidDel="00000000" w:rsidP="00000000" w:rsidRDefault="00000000" w:rsidRPr="00000000" w14:paraId="00000030">
            <w:pPr>
              <w:spacing w:line="33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12/06/2021–Reported out of committee with committee amendments, 2nd reading in Senate.</w:t>
            </w:r>
          </w:p>
          <w:p w:rsidR="00000000" w:rsidDel="00000000" w:rsidP="00000000" w:rsidRDefault="00000000" w:rsidRPr="00000000" w14:paraId="00000031">
            <w:pPr>
              <w:spacing w:line="328.7994545454546" w:lineRule="auto"/>
              <w:ind w:left="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05/06/2021 – Introduced and referred to Senate Health, Human Services and Senior Citizens Committee. </w:t>
            </w:r>
          </w:p>
          <w:p w:rsidR="00000000" w:rsidDel="00000000" w:rsidP="00000000" w:rsidRDefault="00000000" w:rsidRPr="00000000" w14:paraId="00000032">
            <w:pPr>
              <w:spacing w:line="328.799454545454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328.7994545454546" w:lineRule="auto"/>
              <w:ind w:left="8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28.799454545454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76.0005454545455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Bill: </w:t>
        <w:tab/>
        <w:t xml:space="preserve">S225 Sca/A679</w:t>
      </w:r>
    </w:p>
    <w:p w:rsidR="00000000" w:rsidDel="00000000" w:rsidP="00000000" w:rsidRDefault="00000000" w:rsidRPr="00000000" w14:paraId="0000003B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Provides that student-athlete who sustains concussion must return to regular school activities prior to return to competition; requires school districts to implement five-step return-to-competition process.</w:t>
      </w:r>
    </w:p>
    <w:p w:rsidR="00000000" w:rsidDel="00000000" w:rsidP="00000000" w:rsidRDefault="00000000" w:rsidRPr="00000000" w14:paraId="0000003C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Status:       </w:t>
        <w:tab/>
        <w:t xml:space="preserve">06/21/2021 –</w:t>
      </w: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Passed in both houses</w:t>
        </w:r>
      </w:hyperlink>
      <w:r w:rsidDel="00000000" w:rsidR="00000000" w:rsidRPr="00000000">
        <w:rPr>
          <w:sz w:val="24"/>
          <w:szCs w:val="24"/>
          <w:rtl w:val="0"/>
        </w:rPr>
        <w:t xml:space="preserve">-as of 1/6/22 No Movement</w:t>
      </w:r>
    </w:p>
    <w:p w:rsidR="00000000" w:rsidDel="00000000" w:rsidP="00000000" w:rsidRDefault="00000000" w:rsidRPr="00000000" w14:paraId="0000003E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submitted,</w:t>
      </w:r>
    </w:p>
    <w:p w:rsidR="00000000" w:rsidDel="00000000" w:rsidP="00000000" w:rsidRDefault="00000000" w:rsidRPr="00000000" w14:paraId="00000041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Gail Hall</w:t>
      </w:r>
    </w:p>
    <w:p w:rsidR="00000000" w:rsidDel="00000000" w:rsidP="00000000" w:rsidRDefault="00000000" w:rsidRPr="00000000" w14:paraId="00000042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Eileen Gavin</w:t>
      </w:r>
    </w:p>
    <w:p w:rsidR="00000000" w:rsidDel="00000000" w:rsidP="00000000" w:rsidRDefault="00000000" w:rsidRPr="00000000" w14:paraId="00000043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Gina Emge</w:t>
      </w:r>
    </w:p>
    <w:p w:rsidR="00000000" w:rsidDel="00000000" w:rsidP="00000000" w:rsidRDefault="00000000" w:rsidRPr="00000000" w14:paraId="00000044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.0005454545455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5"/>
        <w:gridCol w:w="7750"/>
        <w:tblGridChange w:id="0">
          <w:tblGrid>
            <w:gridCol w:w="1465"/>
            <w:gridCol w:w="7750"/>
          </w:tblGrid>
        </w:tblGridChange>
      </w:tblGrid>
      <w:tr>
        <w:trPr>
          <w:cantSplit w:val="0"/>
          <w:trHeight w:val="252.37304687499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330" w:lineRule="auto"/>
              <w:jc w:val="righ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33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76.000545454545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.0005454545455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jea.org/njea-failure-to-extend-school-mask-mandate-is-educational-malpractice/" TargetMode="External"/><Relationship Id="rId7" Type="http://schemas.openxmlformats.org/officeDocument/2006/relationships/hyperlink" Target="https://www.njleg.state.nj.us/archived-media/2020/SED-meeting-list/media-player?committee=SED&amp;agendaDate=2022-01-06-10:00:00&amp;agendaType=M&amp;av=V" TargetMode="External"/><Relationship Id="rId8" Type="http://schemas.openxmlformats.org/officeDocument/2006/relationships/hyperlink" Target="https://www.govnetnj.com/GOV/billsrch?s=2020&amp;t=stat&amp;d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