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08D78" w14:textId="77777777" w:rsidR="00535334" w:rsidRDefault="00857A4A">
      <w:pPr>
        <w:ind w:left="270"/>
        <w:rPr>
          <w:sz w:val="20"/>
        </w:rPr>
      </w:pPr>
      <w:r>
        <w:rPr>
          <w:noProof/>
          <w:sz w:val="20"/>
        </w:rPr>
        <w:drawing>
          <wp:inline distT="0" distB="0" distL="0" distR="0" wp14:anchorId="6660F0A7" wp14:editId="2FFD1142">
            <wp:extent cx="7396473" cy="9239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6473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0097D" w14:textId="77777777" w:rsidR="00535334" w:rsidRDefault="00857A4A">
      <w:pPr>
        <w:spacing w:before="196" w:line="275" w:lineRule="exact"/>
        <w:ind w:left="1440"/>
        <w:rPr>
          <w:b/>
          <w:sz w:val="24"/>
        </w:rPr>
      </w:pPr>
      <w:bookmarkStart w:id="0" w:name="FOR_IMMEDIATE_RELEASE:_[Date]"/>
      <w:bookmarkEnd w:id="0"/>
      <w:r>
        <w:rPr>
          <w:b/>
          <w:sz w:val="24"/>
        </w:rPr>
        <w:t>FOR IMMEDIATE RELEASE:</w:t>
      </w:r>
      <w:r>
        <w:rPr>
          <w:b/>
          <w:spacing w:val="3"/>
          <w:sz w:val="24"/>
        </w:rPr>
        <w:t xml:space="preserve"> </w:t>
      </w:r>
      <w:r>
        <w:rPr>
          <w:b/>
          <w:color w:val="FF0000"/>
          <w:spacing w:val="-2"/>
          <w:sz w:val="24"/>
        </w:rPr>
        <w:t>[Date]</w:t>
      </w:r>
    </w:p>
    <w:p w14:paraId="0CB8D289" w14:textId="77777777" w:rsidR="00535334" w:rsidRDefault="00857A4A">
      <w:pPr>
        <w:spacing w:line="275" w:lineRule="exact"/>
        <w:ind w:left="1440"/>
        <w:rPr>
          <w:b/>
          <w:color w:val="FF0000"/>
          <w:spacing w:val="-2"/>
          <w:sz w:val="24"/>
        </w:rPr>
      </w:pPr>
      <w:bookmarkStart w:id="1" w:name="CONTACT:_[Name,_Phone_Number,_Email_Addr"/>
      <w:bookmarkEnd w:id="1"/>
      <w:r>
        <w:rPr>
          <w:b/>
          <w:sz w:val="24"/>
        </w:rPr>
        <w:t>CONTACT:</w:t>
      </w:r>
      <w:r>
        <w:rPr>
          <w:b/>
          <w:spacing w:val="-1"/>
          <w:sz w:val="24"/>
        </w:rPr>
        <w:t xml:space="preserve"> </w:t>
      </w:r>
      <w:r>
        <w:rPr>
          <w:b/>
          <w:color w:val="FF0000"/>
          <w:sz w:val="24"/>
        </w:rPr>
        <w:t>[Name,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Phone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Number,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 xml:space="preserve">Email </w:t>
      </w:r>
      <w:r>
        <w:rPr>
          <w:b/>
          <w:color w:val="FF0000"/>
          <w:spacing w:val="-2"/>
          <w:sz w:val="24"/>
        </w:rPr>
        <w:t>Address]</w:t>
      </w:r>
    </w:p>
    <w:p w14:paraId="773FA668" w14:textId="77777777" w:rsidR="0001690B" w:rsidRDefault="0001690B">
      <w:pPr>
        <w:spacing w:line="275" w:lineRule="exact"/>
        <w:ind w:left="1440"/>
        <w:rPr>
          <w:b/>
          <w:sz w:val="24"/>
        </w:rPr>
      </w:pPr>
    </w:p>
    <w:p w14:paraId="4434E18B" w14:textId="4BA8C0F9" w:rsidR="0001690B" w:rsidRPr="000F271A" w:rsidRDefault="0001690B" w:rsidP="000F271A">
      <w:pPr>
        <w:spacing w:line="275" w:lineRule="exact"/>
        <w:ind w:left="1440" w:right="1440"/>
        <w:jc w:val="center"/>
        <w:rPr>
          <w:b/>
          <w:sz w:val="28"/>
        </w:rPr>
      </w:pPr>
      <w:r w:rsidRPr="000F271A">
        <w:rPr>
          <w:b/>
          <w:color w:val="EE0000"/>
          <w:sz w:val="28"/>
        </w:rPr>
        <w:t>[Organization]</w:t>
      </w:r>
      <w:r>
        <w:rPr>
          <w:b/>
          <w:color w:val="EE0000"/>
          <w:sz w:val="28"/>
        </w:rPr>
        <w:t xml:space="preserve"> </w:t>
      </w:r>
      <w:r w:rsidRPr="000F271A">
        <w:rPr>
          <w:b/>
          <w:sz w:val="28"/>
        </w:rPr>
        <w:t>Promotes Safe, Sober Boating Through Nationwide</w:t>
      </w:r>
    </w:p>
    <w:p w14:paraId="124A927B" w14:textId="7A583121" w:rsidR="0001690B" w:rsidRPr="000F271A" w:rsidRDefault="0001690B" w:rsidP="000F271A">
      <w:pPr>
        <w:spacing w:line="275" w:lineRule="exact"/>
        <w:ind w:left="1440" w:right="1440"/>
        <w:jc w:val="center"/>
        <w:rPr>
          <w:b/>
          <w:sz w:val="28"/>
          <w:szCs w:val="24"/>
        </w:rPr>
      </w:pPr>
      <w:r w:rsidRPr="000F271A">
        <w:rPr>
          <w:b/>
          <w:sz w:val="28"/>
        </w:rPr>
        <w:t>Operation Dry Water Awareness Campaign</w:t>
      </w:r>
    </w:p>
    <w:p w14:paraId="03C51BD8" w14:textId="77777777" w:rsidR="00597FE9" w:rsidRDefault="00597FE9" w:rsidP="0001690B">
      <w:pPr>
        <w:pStyle w:val="BodyText"/>
        <w:ind w:left="0"/>
        <w:rPr>
          <w:b/>
        </w:rPr>
      </w:pPr>
    </w:p>
    <w:p w14:paraId="1B097358" w14:textId="379DF01F" w:rsidR="001B25E2" w:rsidRDefault="00857A4A" w:rsidP="000F271A">
      <w:pPr>
        <w:pStyle w:val="BodyText"/>
        <w:ind w:right="1440"/>
      </w:pPr>
      <w:r>
        <w:rPr>
          <w:color w:val="FF0000"/>
        </w:rPr>
        <w:t xml:space="preserve">[City, STATE] </w:t>
      </w:r>
      <w:r>
        <w:rPr>
          <w:b/>
          <w:i/>
        </w:rPr>
        <w:t xml:space="preserve">– </w:t>
      </w:r>
      <w:r w:rsidR="0001690B">
        <w:t xml:space="preserve">As boating activity increases nationwide over </w:t>
      </w:r>
      <w:r w:rsidR="001B25E2" w:rsidRPr="001B25E2">
        <w:t>the Fourth of July holiday</w:t>
      </w:r>
      <w:r w:rsidR="0001690B">
        <w:t xml:space="preserve">, </w:t>
      </w:r>
      <w:r w:rsidR="001B25E2" w:rsidRPr="000E410F">
        <w:rPr>
          <w:color w:val="EE0000"/>
        </w:rPr>
        <w:t>[Organization]</w:t>
      </w:r>
      <w:r w:rsidR="0001690B">
        <w:rPr>
          <w:color w:val="EE0000"/>
        </w:rPr>
        <w:t xml:space="preserve"> </w:t>
      </w:r>
      <w:r w:rsidR="0001690B">
        <w:t xml:space="preserve">is </w:t>
      </w:r>
      <w:r w:rsidR="0079074E">
        <w:t>participating</w:t>
      </w:r>
      <w:r w:rsidR="0001690B">
        <w:t xml:space="preserve"> </w:t>
      </w:r>
      <w:r w:rsidR="0001690B" w:rsidRPr="0001690B">
        <w:t>in</w:t>
      </w:r>
      <w:r w:rsidR="0001690B">
        <w:t xml:space="preserve"> </w:t>
      </w:r>
      <w:hyperlink r:id="rId5" w:history="1">
        <w:r w:rsidR="001B25E2" w:rsidRPr="0079074E">
          <w:rPr>
            <w:rStyle w:val="Hyperlink"/>
          </w:rPr>
          <w:t>Operation Dry Water</w:t>
        </w:r>
      </w:hyperlink>
      <w:r w:rsidR="0001690B">
        <w:t>,</w:t>
      </w:r>
      <w:r w:rsidR="001B25E2" w:rsidRPr="001B25E2">
        <w:t xml:space="preserve"> </w:t>
      </w:r>
      <w:r w:rsidR="0001690B">
        <w:t xml:space="preserve">a national awareness campaign focused on educating boaters about the dangers of </w:t>
      </w:r>
      <w:r w:rsidR="001B25E2" w:rsidRPr="001B25E2">
        <w:t>alcohol- and drug-</w:t>
      </w:r>
      <w:r w:rsidR="0001690B">
        <w:t>impaired</w:t>
      </w:r>
      <w:r w:rsidR="0001690B" w:rsidRPr="001B25E2">
        <w:t xml:space="preserve"> </w:t>
      </w:r>
      <w:r w:rsidR="0001690B" w:rsidRPr="0001690B">
        <w:t xml:space="preserve">boating and promoting sober behavior for everyone on board. The campaign will take place </w:t>
      </w:r>
      <w:r w:rsidR="0001690B" w:rsidRPr="000F271A">
        <w:rPr>
          <w:b/>
          <w:bCs/>
        </w:rPr>
        <w:t>July 3–5</w:t>
      </w:r>
      <w:r w:rsidR="0001690B" w:rsidRPr="0001690B">
        <w:t>.</w:t>
      </w:r>
    </w:p>
    <w:p w14:paraId="0F50AD05" w14:textId="77777777" w:rsidR="0001690B" w:rsidRPr="001B25E2" w:rsidRDefault="0001690B" w:rsidP="0001690B">
      <w:pPr>
        <w:pStyle w:val="BodyText"/>
        <w:ind w:right="1469"/>
      </w:pPr>
    </w:p>
    <w:p w14:paraId="549AC21F" w14:textId="1E1286F3" w:rsidR="001B25E2" w:rsidRDefault="001B25E2" w:rsidP="0001690B">
      <w:pPr>
        <w:pStyle w:val="BodyText"/>
        <w:ind w:right="1469"/>
      </w:pPr>
      <w:r w:rsidRPr="001B25E2">
        <w:t>Alcohol remains the leading known contributing factor in recreational boating fatalities</w:t>
      </w:r>
      <w:r w:rsidR="0001690B">
        <w:t>,</w:t>
      </w:r>
      <w:r w:rsidR="0001690B">
        <w:t xml:space="preserve"> </w:t>
      </w:r>
      <w:r w:rsidR="0001690B">
        <w:t>impairing judgment, balance, vision, and reaction time</w:t>
      </w:r>
      <w:r w:rsidR="0001690B">
        <w:t xml:space="preserve"> </w:t>
      </w:r>
      <w:r w:rsidR="0001690B">
        <w:t>—</w:t>
      </w:r>
      <w:r w:rsidR="0001690B">
        <w:t xml:space="preserve"> </w:t>
      </w:r>
      <w:r w:rsidR="0001690B">
        <w:t xml:space="preserve">skills essential for </w:t>
      </w:r>
      <w:r w:rsidR="0079074E">
        <w:t>safe boating</w:t>
      </w:r>
      <w:r w:rsidR="0001690B">
        <w:t>.</w:t>
      </w:r>
      <w:r w:rsidR="001F1C52">
        <w:rPr>
          <w:vertAlign w:val="superscript"/>
        </w:rPr>
        <w:t xml:space="preserve">1 </w:t>
      </w:r>
      <w:r w:rsidR="0001690B">
        <w:t xml:space="preserve">Through Operation Dry Water, </w:t>
      </w:r>
      <w:r w:rsidRPr="000E410F">
        <w:rPr>
          <w:color w:val="EE0000"/>
        </w:rPr>
        <w:t xml:space="preserve">[Organization] </w:t>
      </w:r>
      <w:r w:rsidR="0079074E" w:rsidRPr="0079074E">
        <w:t>is raising awareness about how alcohol and drugs increase risk on the water, even in situations that may seem routine or familiar.</w:t>
      </w:r>
    </w:p>
    <w:p w14:paraId="7AECD77A" w14:textId="77777777" w:rsidR="0001690B" w:rsidRPr="001B25E2" w:rsidRDefault="0001690B" w:rsidP="0001690B">
      <w:pPr>
        <w:pStyle w:val="BodyText"/>
        <w:ind w:right="1469"/>
      </w:pPr>
    </w:p>
    <w:p w14:paraId="50160038" w14:textId="6E93896C" w:rsidR="001B25E2" w:rsidRDefault="001B25E2" w:rsidP="0001690B">
      <w:pPr>
        <w:pStyle w:val="BodyText"/>
        <w:ind w:right="1469"/>
      </w:pPr>
      <w:r w:rsidRPr="001B25E2">
        <w:t>“</w:t>
      </w:r>
      <w:r w:rsidR="0001690B" w:rsidRPr="0001690B">
        <w:t>Boating safety depends on everyone making responsible choices</w:t>
      </w:r>
      <w:r w:rsidRPr="001B25E2">
        <w:t xml:space="preserve">,” said </w:t>
      </w:r>
      <w:r w:rsidRPr="000E410F">
        <w:rPr>
          <w:color w:val="EE0000"/>
        </w:rPr>
        <w:t>[Spokesperson Name]</w:t>
      </w:r>
      <w:r w:rsidRPr="001B25E2">
        <w:t xml:space="preserve">. “Operation Dry Water </w:t>
      </w:r>
      <w:r w:rsidR="001F16C4">
        <w:t>helps boaters understand that alcohol affects more than just the person at the helm. Impairment anywhere on a boat can lead to dangerous situations, and staying sober helps protect everyone on the water.”</w:t>
      </w:r>
    </w:p>
    <w:p w14:paraId="0DA723F3" w14:textId="77777777" w:rsidR="0001690B" w:rsidRPr="001B25E2" w:rsidRDefault="0001690B" w:rsidP="0001690B">
      <w:pPr>
        <w:pStyle w:val="BodyText"/>
        <w:ind w:right="1469"/>
      </w:pPr>
    </w:p>
    <w:p w14:paraId="502952D1" w14:textId="511FE38A" w:rsidR="00FD4BD0" w:rsidRDefault="001F16C4" w:rsidP="0001690B">
      <w:pPr>
        <w:pStyle w:val="BodyText"/>
        <w:ind w:right="1469"/>
      </w:pPr>
      <w:r>
        <w:t>Throughout the</w:t>
      </w:r>
      <w:r w:rsidR="001B25E2" w:rsidRPr="001B25E2">
        <w:t xml:space="preserve"> Operation Dry Water weekend, </w:t>
      </w:r>
      <w:r w:rsidR="00FD4BD0" w:rsidRPr="000F271A">
        <w:rPr>
          <w:color w:val="EE0000"/>
        </w:rPr>
        <w:t xml:space="preserve">[Organization] </w:t>
      </w:r>
      <w:r w:rsidR="00FD4BD0" w:rsidRPr="00FD4BD0">
        <w:t xml:space="preserve">will support education and outreach efforts </w:t>
      </w:r>
      <w:r w:rsidRPr="001F16C4">
        <w:t>that encourage sober boating, life jacket use, and heightened awareness of changing conditions on the water. These prevention-focused messages are intended to reduce risky behaviors that contribute to preventable incidents and fatalities.</w:t>
      </w:r>
    </w:p>
    <w:p w14:paraId="62825EC2" w14:textId="77777777" w:rsidR="0001690B" w:rsidRPr="001B25E2" w:rsidRDefault="0001690B" w:rsidP="0001690B">
      <w:pPr>
        <w:pStyle w:val="BodyText"/>
        <w:ind w:right="1469"/>
      </w:pPr>
    </w:p>
    <w:p w14:paraId="2430DD30" w14:textId="4EB5E6F0" w:rsidR="001B25E2" w:rsidRDefault="00FD4BD0" w:rsidP="0001690B">
      <w:pPr>
        <w:pStyle w:val="BodyText"/>
        <w:ind w:right="1469"/>
      </w:pPr>
      <w:r w:rsidRPr="00FD4BD0">
        <w:t>Alcohol use by passengers</w:t>
      </w:r>
      <w:r>
        <w:t xml:space="preserve"> </w:t>
      </w:r>
      <w:r w:rsidRPr="00FD4BD0">
        <w:t>—</w:t>
      </w:r>
      <w:r>
        <w:t xml:space="preserve"> </w:t>
      </w:r>
      <w:r w:rsidRPr="00FD4BD0">
        <w:t>not just operators</w:t>
      </w:r>
      <w:r>
        <w:t xml:space="preserve"> </w:t>
      </w:r>
      <w:r w:rsidRPr="00FD4BD0">
        <w:t>—</w:t>
      </w:r>
      <w:r>
        <w:t xml:space="preserve"> </w:t>
      </w:r>
      <w:r w:rsidRPr="00FD4BD0">
        <w:t xml:space="preserve">can </w:t>
      </w:r>
      <w:r w:rsidR="001F16C4">
        <w:t xml:space="preserve">also </w:t>
      </w:r>
      <w:r w:rsidRPr="00FD4BD0">
        <w:t>create hazardous situations on the water.</w:t>
      </w:r>
      <w:r w:rsidR="001F1C52">
        <w:rPr>
          <w:vertAlign w:val="superscript"/>
        </w:rPr>
        <w:t>2</w:t>
      </w:r>
      <w:r w:rsidR="001B25E2" w:rsidRPr="001B25E2">
        <w:t xml:space="preserve"> </w:t>
      </w:r>
      <w:r w:rsidRPr="00FD4BD0">
        <w:t xml:space="preserve">Impaired balance, slowed reactions, and distraction </w:t>
      </w:r>
      <w:r w:rsidR="001F1C52">
        <w:t>increase the risk of falls, ejections, and other serious injuries. Operation Dry Water emphasizes shared responsibility, reinforcing that boating safety is a collective effort.</w:t>
      </w:r>
    </w:p>
    <w:p w14:paraId="600DE4E0" w14:textId="77777777" w:rsidR="00FD4BD0" w:rsidRDefault="00FD4BD0" w:rsidP="0001690B">
      <w:pPr>
        <w:pStyle w:val="BodyText"/>
        <w:ind w:right="1469"/>
      </w:pPr>
    </w:p>
    <w:p w14:paraId="51A5D55B" w14:textId="6445F499" w:rsidR="00FD4BD0" w:rsidRDefault="001F1C52" w:rsidP="00FD4BD0">
      <w:pPr>
        <w:pStyle w:val="BodyText"/>
        <w:ind w:right="1469"/>
      </w:pPr>
      <w:r>
        <w:t>Ahead of the July 4 holiday</w:t>
      </w:r>
      <w:r w:rsidR="00FD4BD0">
        <w:t xml:space="preserve">, </w:t>
      </w:r>
      <w:r w:rsidR="00FD4BD0" w:rsidRPr="000F271A">
        <w:rPr>
          <w:color w:val="EE0000"/>
        </w:rPr>
        <w:t xml:space="preserve">[Organization] </w:t>
      </w:r>
      <w:r w:rsidR="00FD4BD0">
        <w:t>urges boaters to recognize that alcohol and drugs have no place on the water and that sober behavior by everyone on board is essential to preventing injuries and fatalities.</w:t>
      </w:r>
      <w:r w:rsidR="00FD4BD0">
        <w:t xml:space="preserve"> </w:t>
      </w:r>
      <w:r w:rsidR="00FD4BD0">
        <w:t xml:space="preserve">Educational resources about boating under the influence and Operation Dry Water are available at </w:t>
      </w:r>
      <w:r w:rsidR="00FD4BD0" w:rsidRPr="000F271A">
        <w:rPr>
          <w:color w:val="EE0000"/>
        </w:rPr>
        <w:t xml:space="preserve">[Organization website] </w:t>
      </w:r>
      <w:r w:rsidR="00FD4BD0">
        <w:t xml:space="preserve">and </w:t>
      </w:r>
      <w:hyperlink r:id="rId6" w:history="1">
        <w:r w:rsidR="00FD4BD0" w:rsidRPr="001F1C52">
          <w:rPr>
            <w:rStyle w:val="Hyperlink"/>
          </w:rPr>
          <w:t>operationdrywater.org</w:t>
        </w:r>
      </w:hyperlink>
      <w:r w:rsidR="00FD4BD0">
        <w:t>.</w:t>
      </w:r>
    </w:p>
    <w:p w14:paraId="61F6E949" w14:textId="77777777" w:rsidR="00FD4BD0" w:rsidRDefault="00FD4BD0" w:rsidP="00FD4BD0">
      <w:pPr>
        <w:pStyle w:val="BodyText"/>
        <w:ind w:right="1469"/>
      </w:pPr>
    </w:p>
    <w:p w14:paraId="094A80D5" w14:textId="0958C87A" w:rsidR="00535334" w:rsidRDefault="00857A4A" w:rsidP="0001690B">
      <w:pPr>
        <w:pStyle w:val="BodyText"/>
        <w:ind w:right="1469"/>
      </w:pPr>
      <w:r>
        <w:rPr>
          <w:i/>
        </w:rPr>
        <w:t xml:space="preserve">Operation Dry Water </w:t>
      </w:r>
      <w:r>
        <w:t xml:space="preserve">is coordinated nationally by the </w:t>
      </w:r>
      <w:hyperlink r:id="rId7" w:history="1">
        <w:r w:rsidR="00FD4BD0" w:rsidRPr="00FD4BD0">
          <w:rPr>
            <w:rStyle w:val="Hyperlink"/>
          </w:rPr>
          <w:t>National Association of State Boating Law Administrators (NASBLA)</w:t>
        </w:r>
      </w:hyperlink>
      <w:r w:rsidR="00FD4BD0">
        <w:t xml:space="preserve"> </w:t>
      </w:r>
      <w:r>
        <w:t>in</w:t>
      </w:r>
      <w:r>
        <w:rPr>
          <w:spacing w:val="-4"/>
        </w:rPr>
        <w:t xml:space="preserve"> </w:t>
      </w:r>
      <w:r>
        <w:t>partnership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U.S.</w:t>
      </w:r>
      <w:r>
        <w:rPr>
          <w:spacing w:val="-4"/>
        </w:rPr>
        <w:t xml:space="preserve"> </w:t>
      </w:r>
      <w:r>
        <w:t xml:space="preserve">Coast </w:t>
      </w:r>
      <w:r>
        <w:rPr>
          <w:spacing w:val="-2"/>
        </w:rPr>
        <w:t>Guard.</w:t>
      </w:r>
    </w:p>
    <w:p w14:paraId="0A3D2959" w14:textId="77777777" w:rsidR="00535334" w:rsidRDefault="00535334" w:rsidP="0001690B">
      <w:pPr>
        <w:pStyle w:val="BodyText"/>
        <w:ind w:left="0"/>
      </w:pPr>
    </w:p>
    <w:p w14:paraId="6767F71F" w14:textId="77777777" w:rsidR="00535334" w:rsidRPr="000F271A" w:rsidRDefault="00857A4A">
      <w:pPr>
        <w:ind w:left="5"/>
        <w:jc w:val="center"/>
        <w:rPr>
          <w:i/>
          <w:sz w:val="24"/>
        </w:rPr>
      </w:pPr>
      <w:r w:rsidRPr="000F271A">
        <w:rPr>
          <w:i/>
          <w:spacing w:val="-5"/>
          <w:sz w:val="24"/>
        </w:rPr>
        <w:t>###</w:t>
      </w:r>
    </w:p>
    <w:p w14:paraId="1A805E85" w14:textId="77777777" w:rsidR="00535334" w:rsidRDefault="00857A4A">
      <w:pPr>
        <w:pStyle w:val="BodyText"/>
        <w:spacing w:before="202"/>
        <w:ind w:left="0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A8BDB9C" wp14:editId="02749FDB">
                <wp:simplePos x="0" y="0"/>
                <wp:positionH relativeFrom="page">
                  <wp:posOffset>914717</wp:posOffset>
                </wp:positionH>
                <wp:positionV relativeFrom="paragraph">
                  <wp:posOffset>289804</wp:posOffset>
                </wp:positionV>
                <wp:extent cx="1219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39653" id="Graphic 2" o:spid="_x0000_s1026" style="position:absolute;margin-left:1in;margin-top:22.8pt;width:9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" path="m,l1219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9B6CA44" w14:textId="16B11769" w:rsidR="00535334" w:rsidRDefault="00857A4A">
      <w:pPr>
        <w:pStyle w:val="BodyText"/>
        <w:spacing w:line="274" w:lineRule="exact"/>
      </w:pPr>
      <w:r>
        <w:rPr>
          <w:position w:val="8"/>
          <w:sz w:val="16"/>
        </w:rPr>
        <w:t>1</w:t>
      </w:r>
      <w:r>
        <w:rPr>
          <w:spacing w:val="18"/>
          <w:position w:val="8"/>
          <w:sz w:val="16"/>
        </w:rPr>
        <w:t xml:space="preserve"> </w:t>
      </w:r>
      <w:hyperlink r:id="rId8">
        <w:r w:rsidR="00535334">
          <w:rPr>
            <w:color w:val="0000FF"/>
            <w:u w:val="single" w:color="0000FF"/>
          </w:rPr>
          <w:t>2024</w:t>
        </w:r>
        <w:r w:rsidR="00535334">
          <w:rPr>
            <w:color w:val="0000FF"/>
            <w:spacing w:val="-2"/>
            <w:u w:val="single" w:color="0000FF"/>
          </w:rPr>
          <w:t xml:space="preserve"> </w:t>
        </w:r>
        <w:r w:rsidR="00535334">
          <w:rPr>
            <w:color w:val="0000FF"/>
            <w:u w:val="single" w:color="0000FF"/>
          </w:rPr>
          <w:t>U.S.</w:t>
        </w:r>
        <w:r w:rsidR="00535334">
          <w:rPr>
            <w:color w:val="0000FF"/>
            <w:spacing w:val="-2"/>
            <w:u w:val="single" w:color="0000FF"/>
          </w:rPr>
          <w:t xml:space="preserve"> </w:t>
        </w:r>
        <w:r w:rsidR="00535334">
          <w:rPr>
            <w:color w:val="0000FF"/>
            <w:u w:val="single" w:color="0000FF"/>
          </w:rPr>
          <w:t>Coast</w:t>
        </w:r>
        <w:r w:rsidR="00535334">
          <w:rPr>
            <w:color w:val="0000FF"/>
            <w:spacing w:val="-3"/>
            <w:u w:val="single" w:color="0000FF"/>
          </w:rPr>
          <w:t xml:space="preserve"> </w:t>
        </w:r>
        <w:r w:rsidR="00535334">
          <w:rPr>
            <w:color w:val="0000FF"/>
            <w:u w:val="single" w:color="0000FF"/>
          </w:rPr>
          <w:t>Guard</w:t>
        </w:r>
        <w:r w:rsidR="00535334">
          <w:rPr>
            <w:color w:val="0000FF"/>
            <w:spacing w:val="-2"/>
            <w:u w:val="single" w:color="0000FF"/>
          </w:rPr>
          <w:t xml:space="preserve"> </w:t>
        </w:r>
        <w:r w:rsidR="00535334">
          <w:rPr>
            <w:color w:val="0000FF"/>
            <w:u w:val="single" w:color="0000FF"/>
          </w:rPr>
          <w:t>Recreational</w:t>
        </w:r>
        <w:r w:rsidR="00535334">
          <w:rPr>
            <w:color w:val="0000FF"/>
            <w:spacing w:val="-4"/>
            <w:u w:val="single" w:color="0000FF"/>
          </w:rPr>
          <w:t xml:space="preserve"> </w:t>
        </w:r>
        <w:r w:rsidR="00535334">
          <w:rPr>
            <w:color w:val="0000FF"/>
            <w:u w:val="single" w:color="0000FF"/>
          </w:rPr>
          <w:t>Boating</w:t>
        </w:r>
        <w:r w:rsidR="00535334">
          <w:rPr>
            <w:color w:val="0000FF"/>
            <w:spacing w:val="-1"/>
            <w:u w:val="single" w:color="0000FF"/>
          </w:rPr>
          <w:t xml:space="preserve"> </w:t>
        </w:r>
        <w:r w:rsidR="00535334">
          <w:rPr>
            <w:color w:val="0000FF"/>
            <w:spacing w:val="-2"/>
            <w:u w:val="single" w:color="0000FF"/>
          </w:rPr>
          <w:t>Statistics</w:t>
        </w:r>
      </w:hyperlink>
    </w:p>
    <w:p w14:paraId="047A6427" w14:textId="77777777" w:rsidR="00535334" w:rsidRDefault="00857A4A">
      <w:pPr>
        <w:pStyle w:val="BodyText"/>
        <w:spacing w:line="281" w:lineRule="exact"/>
      </w:pPr>
      <w:r>
        <w:rPr>
          <w:position w:val="8"/>
          <w:sz w:val="16"/>
        </w:rPr>
        <w:t>2</w:t>
      </w:r>
      <w:r>
        <w:rPr>
          <w:spacing w:val="18"/>
          <w:position w:val="8"/>
          <w:sz w:val="16"/>
        </w:rPr>
        <w:t xml:space="preserve"> </w:t>
      </w:r>
      <w:hyperlink r:id="rId9">
        <w:r w:rsidR="00535334">
          <w:rPr>
            <w:color w:val="0000FF"/>
            <w:u w:val="single" w:color="0000FF"/>
          </w:rPr>
          <w:t>2019</w:t>
        </w:r>
        <w:r w:rsidR="00535334">
          <w:rPr>
            <w:color w:val="0000FF"/>
            <w:spacing w:val="-2"/>
            <w:u w:val="single" w:color="0000FF"/>
          </w:rPr>
          <w:t xml:space="preserve"> </w:t>
        </w:r>
        <w:r w:rsidR="00535334">
          <w:rPr>
            <w:color w:val="0000FF"/>
            <w:u w:val="single" w:color="0000FF"/>
          </w:rPr>
          <w:t>Boating</w:t>
        </w:r>
        <w:r w:rsidR="00535334">
          <w:rPr>
            <w:color w:val="0000FF"/>
            <w:spacing w:val="-1"/>
            <w:u w:val="single" w:color="0000FF"/>
          </w:rPr>
          <w:t xml:space="preserve"> </w:t>
        </w:r>
        <w:r w:rsidR="00535334">
          <w:rPr>
            <w:color w:val="0000FF"/>
            <w:u w:val="single" w:color="0000FF"/>
          </w:rPr>
          <w:t>Under</w:t>
        </w:r>
        <w:r w:rsidR="00535334">
          <w:rPr>
            <w:color w:val="0000FF"/>
            <w:spacing w:val="-2"/>
            <w:u w:val="single" w:color="0000FF"/>
          </w:rPr>
          <w:t xml:space="preserve"> </w:t>
        </w:r>
        <w:r w:rsidR="00535334">
          <w:rPr>
            <w:color w:val="0000FF"/>
            <w:u w:val="single" w:color="0000FF"/>
          </w:rPr>
          <w:t>the</w:t>
        </w:r>
        <w:r w:rsidR="00535334">
          <w:rPr>
            <w:color w:val="0000FF"/>
            <w:spacing w:val="-4"/>
            <w:u w:val="single" w:color="0000FF"/>
          </w:rPr>
          <w:t xml:space="preserve"> </w:t>
        </w:r>
        <w:r w:rsidR="00535334">
          <w:rPr>
            <w:color w:val="0000FF"/>
            <w:u w:val="single" w:color="0000FF"/>
          </w:rPr>
          <w:t>Influence</w:t>
        </w:r>
        <w:r w:rsidR="00535334">
          <w:rPr>
            <w:color w:val="0000FF"/>
            <w:spacing w:val="-3"/>
            <w:u w:val="single" w:color="0000FF"/>
          </w:rPr>
          <w:t xml:space="preserve"> </w:t>
        </w:r>
        <w:r w:rsidR="00535334">
          <w:rPr>
            <w:color w:val="0000FF"/>
            <w:u w:val="single" w:color="0000FF"/>
          </w:rPr>
          <w:t>(BUI)</w:t>
        </w:r>
        <w:r w:rsidR="00535334">
          <w:rPr>
            <w:color w:val="0000FF"/>
            <w:spacing w:val="-2"/>
            <w:u w:val="single" w:color="0000FF"/>
          </w:rPr>
          <w:t xml:space="preserve"> </w:t>
        </w:r>
        <w:r w:rsidR="00535334">
          <w:rPr>
            <w:color w:val="0000FF"/>
            <w:u w:val="single" w:color="0000FF"/>
          </w:rPr>
          <w:t>Research</w:t>
        </w:r>
        <w:r w:rsidR="00535334">
          <w:rPr>
            <w:color w:val="0000FF"/>
            <w:spacing w:val="3"/>
            <w:u w:val="single" w:color="0000FF"/>
          </w:rPr>
          <w:t xml:space="preserve"> </w:t>
        </w:r>
        <w:r w:rsidR="00535334">
          <w:rPr>
            <w:color w:val="0000FF"/>
            <w:spacing w:val="-2"/>
            <w:u w:val="single" w:color="0000FF"/>
          </w:rPr>
          <w:t>Report</w:t>
        </w:r>
      </w:hyperlink>
    </w:p>
    <w:sectPr w:rsidR="00535334">
      <w:type w:val="continuous"/>
      <w:pgSz w:w="12240" w:h="15840"/>
      <w:pgMar w:top="1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334"/>
    <w:rsid w:val="0001690B"/>
    <w:rsid w:val="0006748F"/>
    <w:rsid w:val="000E410F"/>
    <w:rsid w:val="000F271A"/>
    <w:rsid w:val="001B25E2"/>
    <w:rsid w:val="001F16C4"/>
    <w:rsid w:val="001F1C52"/>
    <w:rsid w:val="00422D8E"/>
    <w:rsid w:val="00462316"/>
    <w:rsid w:val="0048165A"/>
    <w:rsid w:val="00535334"/>
    <w:rsid w:val="00597FE9"/>
    <w:rsid w:val="00640FD9"/>
    <w:rsid w:val="0079074E"/>
    <w:rsid w:val="00857A4A"/>
    <w:rsid w:val="009870E7"/>
    <w:rsid w:val="009C57FD"/>
    <w:rsid w:val="00A0515A"/>
    <w:rsid w:val="00A665CE"/>
    <w:rsid w:val="00B37A6F"/>
    <w:rsid w:val="00F5208A"/>
    <w:rsid w:val="00F57BBA"/>
    <w:rsid w:val="00FD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BF3EC8"/>
  <w15:docId w15:val="{9B089230-93F8-1B48-862C-32EEAB4B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401" w:right="2677" w:firstLine="1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9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1B25E2"/>
    <w:rPr>
      <w:sz w:val="24"/>
      <w:szCs w:val="24"/>
    </w:rPr>
  </w:style>
  <w:style w:type="paragraph" w:styleId="Revision">
    <w:name w:val="Revision"/>
    <w:hidden/>
    <w:uiPriority w:val="99"/>
    <w:semiHidden/>
    <w:rsid w:val="0001690B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9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01690B"/>
    <w:rPr>
      <w:b/>
      <w:bCs/>
    </w:rPr>
  </w:style>
  <w:style w:type="character" w:styleId="Hyperlink">
    <w:name w:val="Hyperlink"/>
    <w:basedOn w:val="DefaultParagraphFont"/>
    <w:uiPriority w:val="99"/>
    <w:unhideWhenUsed/>
    <w:rsid w:val="00FD4B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cgboating.org/library/accident-statistics/Recreational-Boating-Statistics-2024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asbla.org/ho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sbla.org/operationdrywater/hom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asbla.org/operationdrywater/home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higherlogicdownload.s3.amazonaws.com/NASBLA/67127f40-7467-4747-b21a-61953c87cb71/UploadedImages/ODW/NASBLA_AlcoholDrugResearchSummary_Bibliograph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427</Words>
  <Characters>2562</Characters>
  <Application>Microsoft Office Word</Application>
  <DocSecurity>0</DocSecurity>
  <Lines>45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Taylor Kirshe</cp:lastModifiedBy>
  <cp:revision>18</cp:revision>
  <dcterms:created xsi:type="dcterms:W3CDTF">2026-01-26T19:49:00Z</dcterms:created>
  <dcterms:modified xsi:type="dcterms:W3CDTF">2026-01-26T19:56:00Z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2026-01-15T00:00:00Z</vt:filetime>
  </property>
</Properties>
</file>