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BAD4" w14:textId="4A546AA9" w:rsidR="00BC0900" w:rsidRPr="00BC0900" w:rsidRDefault="00BC0900" w:rsidP="00BC0900">
      <w:pPr>
        <w:jc w:val="center"/>
        <w:rPr>
          <w:b/>
          <w:u w:val="single"/>
        </w:rPr>
      </w:pPr>
      <w:bookmarkStart w:id="0" w:name="_GoBack"/>
      <w:bookmarkEnd w:id="0"/>
      <w:r w:rsidRPr="00BC0900">
        <w:rPr>
          <w:b/>
          <w:u w:val="single"/>
        </w:rPr>
        <w:t>National Alliance Bundled Payment Initiative:</w:t>
      </w:r>
    </w:p>
    <w:p w14:paraId="54533756" w14:textId="3CE870B6" w:rsidR="00BC0900" w:rsidRPr="00BC0900" w:rsidRDefault="00BC0900" w:rsidP="00BC0900">
      <w:pPr>
        <w:jc w:val="center"/>
        <w:rPr>
          <w:b/>
          <w:u w:val="single"/>
        </w:rPr>
      </w:pPr>
      <w:r w:rsidRPr="00BC0900">
        <w:rPr>
          <w:b/>
          <w:u w:val="single"/>
        </w:rPr>
        <w:t>STANDARDS FOR SUCCESS</w:t>
      </w:r>
    </w:p>
    <w:p w14:paraId="30E0D600" w14:textId="536E94E7" w:rsidR="00BC0900" w:rsidRDefault="00BC0900" w:rsidP="00BC0900">
      <w:r w:rsidRPr="00B33D05">
        <w:t xml:space="preserve">These </w:t>
      </w:r>
      <w:r>
        <w:t>following</w:t>
      </w:r>
      <w:r w:rsidRPr="00B33D05">
        <w:t xml:space="preserve"> principles, </w:t>
      </w:r>
      <w:r>
        <w:t>referred to collectively as Standards for Success</w:t>
      </w:r>
      <w:r w:rsidRPr="00B33D05">
        <w:t xml:space="preserve">, </w:t>
      </w:r>
      <w:r>
        <w:t xml:space="preserve">are intended to ensure </w:t>
      </w:r>
      <w:r w:rsidRPr="00B33D05">
        <w:t xml:space="preserve">widespread adoption, sustainability, continuous quality improvement, and a value-driven </w:t>
      </w:r>
      <w:r>
        <w:t xml:space="preserve">delivery </w:t>
      </w:r>
      <w:r w:rsidRPr="00B33D05">
        <w:t>system</w:t>
      </w:r>
      <w:r>
        <w:t xml:space="preserve"> with regards to Episode of Care programs. The principles are intended to be jointly agreed upon by the National Alliance and coalitions, and will provide guidance and standards related to episode definitions, risk management, business practices, participation, value -based payment program integration. </w:t>
      </w:r>
    </w:p>
    <w:p w14:paraId="088DAD99" w14:textId="3E4968F9" w:rsidR="00BC0900" w:rsidRDefault="00BC0900" w:rsidP="00BC0900"/>
    <w:p w14:paraId="214D009C" w14:textId="40902120" w:rsidR="00BC0900" w:rsidRDefault="00BC0900" w:rsidP="00BC0900">
      <w:r>
        <w:t>When settled upon, these Standards will be used in assessing the readiness and capabilities of carriers when it comes to bundled payments. The identified gaps between the Standards for Success and carrier capabilities will reveal opportunities for the initiative. The Standards for Success are closely linked to the developed Carrier Assessment Criteria – which will be used as a tool to conduct the actual assessment of carrier capabilities. More specifically, the Standards reflect the criteria, and vice versa.</w:t>
      </w:r>
    </w:p>
    <w:p w14:paraId="74539965" w14:textId="4630B08D" w:rsidR="00BC0900" w:rsidRDefault="00BC0900" w:rsidP="00BC0900"/>
    <w:p w14:paraId="54F1EA9C" w14:textId="498BC0BF" w:rsidR="00BC0900" w:rsidRDefault="00BC0900" w:rsidP="00BC0900">
      <w:r>
        <w:t>The Standards of Success for bundled payment programs are as follows:</w:t>
      </w:r>
    </w:p>
    <w:p w14:paraId="63939C52" w14:textId="77777777" w:rsidR="00BC0900" w:rsidRDefault="00BC0900" w:rsidP="00BC0900">
      <w:pPr>
        <w:tabs>
          <w:tab w:val="num" w:pos="720"/>
        </w:tabs>
        <w:ind w:left="720" w:hanging="360"/>
      </w:pPr>
    </w:p>
    <w:p w14:paraId="3B90AFAB" w14:textId="77777777" w:rsidR="002F15B1" w:rsidRPr="00BC0900" w:rsidRDefault="00BC0900" w:rsidP="00BC0900">
      <w:pPr>
        <w:numPr>
          <w:ilvl w:val="0"/>
          <w:numId w:val="1"/>
        </w:numPr>
      </w:pPr>
      <w:r w:rsidRPr="00BC0900">
        <w:rPr>
          <w:b/>
          <w:bCs/>
        </w:rPr>
        <w:t xml:space="preserve">COMMON SET OF EPISODE DEFINITIONS: </w:t>
      </w:r>
      <w:r w:rsidRPr="00BC0900">
        <w:t>Enhances the meaningfulness of future quality measures and data</w:t>
      </w:r>
    </w:p>
    <w:p w14:paraId="38B00445" w14:textId="77777777" w:rsidR="002F15B1" w:rsidRPr="00BC0900" w:rsidRDefault="00BC0900" w:rsidP="00BC0900">
      <w:pPr>
        <w:numPr>
          <w:ilvl w:val="0"/>
          <w:numId w:val="1"/>
        </w:numPr>
      </w:pPr>
      <w:r w:rsidRPr="00BC0900">
        <w:rPr>
          <w:b/>
          <w:bCs/>
        </w:rPr>
        <w:t xml:space="preserve">DOUBLE-SIDED RISK: </w:t>
      </w:r>
      <w:r w:rsidRPr="00BC0900">
        <w:t>Catalyzes incentive alignment for providers, promoting success</w:t>
      </w:r>
    </w:p>
    <w:p w14:paraId="53A09A0A" w14:textId="77777777" w:rsidR="002F15B1" w:rsidRPr="00BC0900" w:rsidRDefault="00BC0900" w:rsidP="00BC0900">
      <w:pPr>
        <w:numPr>
          <w:ilvl w:val="0"/>
          <w:numId w:val="1"/>
        </w:numPr>
      </w:pPr>
      <w:r w:rsidRPr="00BC0900">
        <w:rPr>
          <w:b/>
          <w:bCs/>
        </w:rPr>
        <w:t xml:space="preserve">CONSISTENT BUSINESS PROCESSES: </w:t>
      </w:r>
      <w:r w:rsidRPr="00BC0900">
        <w:t>Providers can participate without increasing their cost of administration</w:t>
      </w:r>
    </w:p>
    <w:p w14:paraId="53425CB4" w14:textId="77777777" w:rsidR="002F15B1" w:rsidRPr="00BC0900" w:rsidRDefault="00BC0900" w:rsidP="00BC0900">
      <w:pPr>
        <w:numPr>
          <w:ilvl w:val="0"/>
          <w:numId w:val="1"/>
        </w:numPr>
      </w:pPr>
      <w:r w:rsidRPr="00BC0900">
        <w:rPr>
          <w:b/>
          <w:bCs/>
        </w:rPr>
        <w:t xml:space="preserve">PARTICIPATION GUIDELINES: </w:t>
      </w:r>
      <w:r w:rsidRPr="00BC0900">
        <w:t>Driven by quality and cost effectiveness, with other Episode of Care participation limitations being minimal</w:t>
      </w:r>
    </w:p>
    <w:p w14:paraId="33EB54E3" w14:textId="77777777" w:rsidR="002F15B1" w:rsidRPr="00BC0900" w:rsidRDefault="00BC0900" w:rsidP="00BC0900">
      <w:pPr>
        <w:numPr>
          <w:ilvl w:val="0"/>
          <w:numId w:val="1"/>
        </w:numPr>
      </w:pPr>
      <w:r w:rsidRPr="00BC0900">
        <w:rPr>
          <w:b/>
          <w:bCs/>
        </w:rPr>
        <w:t xml:space="preserve">PAYMENT PROGRAM INTEGRATION: </w:t>
      </w:r>
      <w:r w:rsidRPr="00BC0900">
        <w:t xml:space="preserve">Evolves toward a more rationale pricing structure, with narrower variance and integrates into other value-based payment programs.  </w:t>
      </w:r>
    </w:p>
    <w:p w14:paraId="088E504E" w14:textId="77777777" w:rsidR="00536D65" w:rsidRDefault="00536D65"/>
    <w:sectPr w:rsidR="00536D65" w:rsidSect="003E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972DD"/>
    <w:multiLevelType w:val="hybridMultilevel"/>
    <w:tmpl w:val="9A94AD64"/>
    <w:lvl w:ilvl="0" w:tplc="84A04F42">
      <w:start w:val="1"/>
      <w:numFmt w:val="bullet"/>
      <w:lvlText w:val="•"/>
      <w:lvlJc w:val="left"/>
      <w:pPr>
        <w:tabs>
          <w:tab w:val="num" w:pos="720"/>
        </w:tabs>
        <w:ind w:left="720" w:hanging="360"/>
      </w:pPr>
      <w:rPr>
        <w:rFonts w:ascii="Arial" w:hAnsi="Arial" w:hint="default"/>
      </w:rPr>
    </w:lvl>
    <w:lvl w:ilvl="1" w:tplc="1276BD32" w:tentative="1">
      <w:start w:val="1"/>
      <w:numFmt w:val="bullet"/>
      <w:lvlText w:val="•"/>
      <w:lvlJc w:val="left"/>
      <w:pPr>
        <w:tabs>
          <w:tab w:val="num" w:pos="1440"/>
        </w:tabs>
        <w:ind w:left="1440" w:hanging="360"/>
      </w:pPr>
      <w:rPr>
        <w:rFonts w:ascii="Arial" w:hAnsi="Arial" w:hint="default"/>
      </w:rPr>
    </w:lvl>
    <w:lvl w:ilvl="2" w:tplc="DCE28E30" w:tentative="1">
      <w:start w:val="1"/>
      <w:numFmt w:val="bullet"/>
      <w:lvlText w:val="•"/>
      <w:lvlJc w:val="left"/>
      <w:pPr>
        <w:tabs>
          <w:tab w:val="num" w:pos="2160"/>
        </w:tabs>
        <w:ind w:left="2160" w:hanging="360"/>
      </w:pPr>
      <w:rPr>
        <w:rFonts w:ascii="Arial" w:hAnsi="Arial" w:hint="default"/>
      </w:rPr>
    </w:lvl>
    <w:lvl w:ilvl="3" w:tplc="69BA9600" w:tentative="1">
      <w:start w:val="1"/>
      <w:numFmt w:val="bullet"/>
      <w:lvlText w:val="•"/>
      <w:lvlJc w:val="left"/>
      <w:pPr>
        <w:tabs>
          <w:tab w:val="num" w:pos="2880"/>
        </w:tabs>
        <w:ind w:left="2880" w:hanging="360"/>
      </w:pPr>
      <w:rPr>
        <w:rFonts w:ascii="Arial" w:hAnsi="Arial" w:hint="default"/>
      </w:rPr>
    </w:lvl>
    <w:lvl w:ilvl="4" w:tplc="EBBA02B0" w:tentative="1">
      <w:start w:val="1"/>
      <w:numFmt w:val="bullet"/>
      <w:lvlText w:val="•"/>
      <w:lvlJc w:val="left"/>
      <w:pPr>
        <w:tabs>
          <w:tab w:val="num" w:pos="3600"/>
        </w:tabs>
        <w:ind w:left="3600" w:hanging="360"/>
      </w:pPr>
      <w:rPr>
        <w:rFonts w:ascii="Arial" w:hAnsi="Arial" w:hint="default"/>
      </w:rPr>
    </w:lvl>
    <w:lvl w:ilvl="5" w:tplc="8FD2FA6E" w:tentative="1">
      <w:start w:val="1"/>
      <w:numFmt w:val="bullet"/>
      <w:lvlText w:val="•"/>
      <w:lvlJc w:val="left"/>
      <w:pPr>
        <w:tabs>
          <w:tab w:val="num" w:pos="4320"/>
        </w:tabs>
        <w:ind w:left="4320" w:hanging="360"/>
      </w:pPr>
      <w:rPr>
        <w:rFonts w:ascii="Arial" w:hAnsi="Arial" w:hint="default"/>
      </w:rPr>
    </w:lvl>
    <w:lvl w:ilvl="6" w:tplc="FD94B6C4" w:tentative="1">
      <w:start w:val="1"/>
      <w:numFmt w:val="bullet"/>
      <w:lvlText w:val="•"/>
      <w:lvlJc w:val="left"/>
      <w:pPr>
        <w:tabs>
          <w:tab w:val="num" w:pos="5040"/>
        </w:tabs>
        <w:ind w:left="5040" w:hanging="360"/>
      </w:pPr>
      <w:rPr>
        <w:rFonts w:ascii="Arial" w:hAnsi="Arial" w:hint="default"/>
      </w:rPr>
    </w:lvl>
    <w:lvl w:ilvl="7" w:tplc="EAECE232" w:tentative="1">
      <w:start w:val="1"/>
      <w:numFmt w:val="bullet"/>
      <w:lvlText w:val="•"/>
      <w:lvlJc w:val="left"/>
      <w:pPr>
        <w:tabs>
          <w:tab w:val="num" w:pos="5760"/>
        </w:tabs>
        <w:ind w:left="5760" w:hanging="360"/>
      </w:pPr>
      <w:rPr>
        <w:rFonts w:ascii="Arial" w:hAnsi="Arial" w:hint="default"/>
      </w:rPr>
    </w:lvl>
    <w:lvl w:ilvl="8" w:tplc="43FA3A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00"/>
    <w:rsid w:val="002F15B1"/>
    <w:rsid w:val="003E4F7C"/>
    <w:rsid w:val="00536D65"/>
    <w:rsid w:val="00793556"/>
    <w:rsid w:val="0093690E"/>
    <w:rsid w:val="00BC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99C3"/>
  <w15:chartTrackingRefBased/>
  <w15:docId w15:val="{3B7DA521-58D9-5244-950C-EAA1F4A4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4295">
      <w:bodyDiv w:val="1"/>
      <w:marLeft w:val="0"/>
      <w:marRight w:val="0"/>
      <w:marTop w:val="0"/>
      <w:marBottom w:val="0"/>
      <w:divBdr>
        <w:top w:val="none" w:sz="0" w:space="0" w:color="auto"/>
        <w:left w:val="none" w:sz="0" w:space="0" w:color="auto"/>
        <w:bottom w:val="none" w:sz="0" w:space="0" w:color="auto"/>
        <w:right w:val="none" w:sz="0" w:space="0" w:color="auto"/>
      </w:divBdr>
      <w:divsChild>
        <w:div w:id="805126364">
          <w:marLeft w:val="446"/>
          <w:marRight w:val="0"/>
          <w:marTop w:val="0"/>
          <w:marBottom w:val="120"/>
          <w:divBdr>
            <w:top w:val="none" w:sz="0" w:space="0" w:color="auto"/>
            <w:left w:val="none" w:sz="0" w:space="0" w:color="auto"/>
            <w:bottom w:val="none" w:sz="0" w:space="0" w:color="auto"/>
            <w:right w:val="none" w:sz="0" w:space="0" w:color="auto"/>
          </w:divBdr>
        </w:div>
        <w:div w:id="1945991479">
          <w:marLeft w:val="446"/>
          <w:marRight w:val="0"/>
          <w:marTop w:val="0"/>
          <w:marBottom w:val="120"/>
          <w:divBdr>
            <w:top w:val="none" w:sz="0" w:space="0" w:color="auto"/>
            <w:left w:val="none" w:sz="0" w:space="0" w:color="auto"/>
            <w:bottom w:val="none" w:sz="0" w:space="0" w:color="auto"/>
            <w:right w:val="none" w:sz="0" w:space="0" w:color="auto"/>
          </w:divBdr>
        </w:div>
        <w:div w:id="1700885918">
          <w:marLeft w:val="446"/>
          <w:marRight w:val="0"/>
          <w:marTop w:val="0"/>
          <w:marBottom w:val="120"/>
          <w:divBdr>
            <w:top w:val="none" w:sz="0" w:space="0" w:color="auto"/>
            <w:left w:val="none" w:sz="0" w:space="0" w:color="auto"/>
            <w:bottom w:val="none" w:sz="0" w:space="0" w:color="auto"/>
            <w:right w:val="none" w:sz="0" w:space="0" w:color="auto"/>
          </w:divBdr>
        </w:div>
        <w:div w:id="1492794371">
          <w:marLeft w:val="446"/>
          <w:marRight w:val="0"/>
          <w:marTop w:val="0"/>
          <w:marBottom w:val="120"/>
          <w:divBdr>
            <w:top w:val="none" w:sz="0" w:space="0" w:color="auto"/>
            <w:left w:val="none" w:sz="0" w:space="0" w:color="auto"/>
            <w:bottom w:val="none" w:sz="0" w:space="0" w:color="auto"/>
            <w:right w:val="none" w:sz="0" w:space="0" w:color="auto"/>
          </w:divBdr>
        </w:div>
        <w:div w:id="621302073">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Karlene Lucas</cp:lastModifiedBy>
  <cp:revision>2</cp:revision>
  <dcterms:created xsi:type="dcterms:W3CDTF">2019-04-04T13:37:00Z</dcterms:created>
  <dcterms:modified xsi:type="dcterms:W3CDTF">2019-04-04T13:37:00Z</dcterms:modified>
</cp:coreProperties>
</file>