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A1E" w:rsidP="00F26A1E" w:rsidRDefault="00F26A1E" w14:paraId="6B295504" w14:textId="77777777">
      <w:pPr>
        <w:pBdr>
          <w:bottom w:val="single" w:color="auto" w:sz="6" w:space="1"/>
        </w:pBdr>
      </w:pPr>
      <w:r>
        <w:t>Michigan State Bar: Environmental Law Section</w:t>
      </w:r>
      <w:r>
        <w:br/>
        <w:t xml:space="preserve">Minutes of October 22, </w:t>
      </w:r>
      <w:proofErr w:type="gramStart"/>
      <w:r>
        <w:t>2025</w:t>
      </w:r>
      <w:proofErr w:type="gramEnd"/>
      <w:r>
        <w:t xml:space="preserve"> Annual Meeting</w:t>
      </w:r>
    </w:p>
    <w:p w:rsidR="00F26A1E" w:rsidP="00F26A1E" w:rsidRDefault="00F26A1E" w14:paraId="2BAF5A5D" w14:textId="77777777">
      <w:pPr>
        <w:pBdr>
          <w:bottom w:val="single" w:color="auto" w:sz="6" w:space="1"/>
        </w:pBdr>
      </w:pPr>
    </w:p>
    <w:p w:rsidR="00F26A1E" w:rsidP="00F26A1E" w:rsidRDefault="00F26A1E" w14:paraId="012A6872" w14:textId="77777777"/>
    <w:p w:rsidR="00F26A1E" w:rsidP="00F26A1E" w:rsidRDefault="00F26A1E" w14:paraId="52F59BE7" w14:textId="03BA1A1D">
      <w:pPr>
        <w:pStyle w:val="BodyTextBLLP"/>
        <w:numPr>
          <w:ilvl w:val="0"/>
          <w:numId w:val="16"/>
        </w:numPr>
      </w:pPr>
      <w:r w:rsidRPr="00C91392">
        <w:rPr>
          <w:u w:val="single"/>
        </w:rPr>
        <w:t>Present</w:t>
      </w:r>
      <w:r>
        <w:t xml:space="preserve">: </w:t>
      </w:r>
      <w:r>
        <w:t>Kyle Konwinski, Noah Hall, Elizabeth Morrisseau, Nate Davis, Kyle Jones, Scott Watson, Rebecca Cassell, Gabby Mickel, Todd Schebor, Matt Hall, Hope McLellan-</w:t>
      </w:r>
      <w:r w:rsidR="008F252D">
        <w:t>Brandt</w:t>
      </w:r>
      <w:r>
        <w:t xml:space="preserve">, Paul Beach, Erica Sarver, Ross Hammersley, Paul Stewart, Kurt Kissling, Kurt Brauer, Lauren Teichner, Greg </w:t>
      </w:r>
      <w:proofErr w:type="spellStart"/>
      <w:r>
        <w:t>Narsh</w:t>
      </w:r>
      <w:proofErr w:type="spellEnd"/>
      <w:r>
        <w:t>, David Cassell, Brian Considine, Steve Kelly, Nick Maloof, Mariel Dunn</w:t>
      </w:r>
      <w:r w:rsidR="008F252D">
        <w:t xml:space="preserve">, </w:t>
      </w:r>
      <w:proofErr w:type="spellStart"/>
      <w:r w:rsidR="008F252D">
        <w:t>Norrel</w:t>
      </w:r>
      <w:proofErr w:type="spellEnd"/>
      <w:r w:rsidR="008F252D">
        <w:t xml:space="preserve"> Hemphill</w:t>
      </w:r>
      <w:r w:rsidR="00F94B93">
        <w:t xml:space="preserve">, Edu </w:t>
      </w:r>
      <w:proofErr w:type="spellStart"/>
      <w:r w:rsidR="00F94B93">
        <w:t>Enin-Okut</w:t>
      </w:r>
      <w:proofErr w:type="spellEnd"/>
      <w:r w:rsidR="00F94B93">
        <w:t>, Beth Gotthelf</w:t>
      </w:r>
      <w:r w:rsidR="00961162">
        <w:t xml:space="preserve">, Chris Mikesell. </w:t>
      </w:r>
      <w:r>
        <w:t xml:space="preserve"> </w:t>
      </w:r>
    </w:p>
    <w:p w:rsidR="00F26A1E" w:rsidP="00F26A1E" w:rsidRDefault="00F26A1E" w14:paraId="51C1802C" w14:textId="2CCF1120">
      <w:pPr>
        <w:pStyle w:val="BodyTextBLLP"/>
        <w:numPr>
          <w:ilvl w:val="0"/>
          <w:numId w:val="16"/>
        </w:numPr>
      </w:pPr>
      <w:r>
        <w:rPr>
          <w:u w:val="single"/>
        </w:rPr>
        <w:t>Secretary Report</w:t>
      </w:r>
      <w:r w:rsidRPr="00F26A1E">
        <w:t>:</w:t>
      </w:r>
      <w:r>
        <w:t xml:space="preserve"> </w:t>
      </w:r>
      <w:r w:rsidR="008F252D">
        <w:t>Sarver</w:t>
      </w:r>
      <w:r>
        <w:t xml:space="preserve"> to circulate September 23, October 22, and December 3 after this meeting for advance review and approval. </w:t>
      </w:r>
    </w:p>
    <w:p w:rsidR="00F26A1E" w:rsidP="00F26A1E" w:rsidRDefault="00F26A1E" w14:paraId="7701D315" w14:textId="711E64D1">
      <w:pPr>
        <w:pStyle w:val="BodyTextBLLP"/>
        <w:numPr>
          <w:ilvl w:val="0"/>
          <w:numId w:val="16"/>
        </w:numPr>
      </w:pPr>
      <w:r>
        <w:rPr>
          <w:u w:val="single"/>
        </w:rPr>
        <w:t>Treasurer Report</w:t>
      </w:r>
      <w:r w:rsidRPr="00F26A1E">
        <w:t>:</w:t>
      </w:r>
      <w:r>
        <w:t xml:space="preserve"> draft received from </w:t>
      </w:r>
      <w:r w:rsidR="008F252D">
        <w:t>Bodwin</w:t>
      </w:r>
      <w:r>
        <w:t xml:space="preserve"> last night, </w:t>
      </w:r>
      <w:r w:rsidR="008F252D">
        <w:t xml:space="preserve">she is in trial prep and not present for today’s meeting - </w:t>
      </w:r>
      <w:r>
        <w:t xml:space="preserve">not everyone has had time to review </w:t>
      </w:r>
      <w:r w:rsidR="008F252D">
        <w:t>so not up for approval today</w:t>
      </w:r>
      <w:r>
        <w:t xml:space="preserve">. </w:t>
      </w:r>
    </w:p>
    <w:p w:rsidR="00F26A1E" w:rsidP="00F26A1E" w:rsidRDefault="00F26A1E" w14:paraId="29EECD6F" w14:textId="522F31CA">
      <w:pPr>
        <w:pStyle w:val="BodyTextBLLP"/>
        <w:numPr>
          <w:ilvl w:val="1"/>
          <w:numId w:val="16"/>
        </w:numPr>
      </w:pPr>
      <w:r>
        <w:t>We tend to over-budget expenses and then not actually spend that much money. Purpose was to authorize some spend in advance so that a special meeting did not need to be held to approve expenses before they are incurred.</w:t>
      </w:r>
    </w:p>
    <w:p w:rsidR="00F26A1E" w:rsidP="00F26A1E" w:rsidRDefault="008F252D" w14:paraId="4E43707D" w14:textId="70C7A521">
      <w:pPr>
        <w:pStyle w:val="BodyTextBLLP"/>
        <w:numPr>
          <w:ilvl w:val="1"/>
          <w:numId w:val="16"/>
        </w:numPr>
      </w:pPr>
      <w:r>
        <w:t>Kissling</w:t>
      </w:r>
      <w:r w:rsidR="00F26A1E">
        <w:t xml:space="preserve"> – need to follow up and </w:t>
      </w:r>
      <w:proofErr w:type="gramStart"/>
      <w:r w:rsidR="00F26A1E">
        <w:t>actually do</w:t>
      </w:r>
      <w:proofErr w:type="gramEnd"/>
      <w:r w:rsidR="00F26A1E">
        <w:t xml:space="preserve"> those activities.</w:t>
      </w:r>
    </w:p>
    <w:p w:rsidR="00F26A1E" w:rsidP="00F26A1E" w:rsidRDefault="00F26A1E" w14:paraId="17B89E18" w14:textId="5255AA6B">
      <w:pPr>
        <w:pStyle w:val="BodyTextBLLP"/>
        <w:numPr>
          <w:ilvl w:val="2"/>
          <w:numId w:val="16"/>
        </w:numPr>
      </w:pPr>
      <w:r>
        <w:t>Joint conference revenue is expected to be around $6,300 this year.</w:t>
      </w:r>
    </w:p>
    <w:p w:rsidR="00F26A1E" w:rsidP="00F26A1E" w:rsidRDefault="00F26A1E" w14:paraId="3E7E4AFF" w14:textId="3EDD19A4">
      <w:pPr>
        <w:pStyle w:val="BodyTextBLLP"/>
        <w:numPr>
          <w:ilvl w:val="2"/>
          <w:numId w:val="16"/>
        </w:numPr>
      </w:pPr>
      <w:r>
        <w:t>Request to have rolling tallies from State Bar disclosed in advance of each meeting.</w:t>
      </w:r>
    </w:p>
    <w:p w:rsidR="00F26A1E" w:rsidP="00F26A1E" w:rsidRDefault="008F252D" w14:paraId="1F85AE6E" w14:textId="10002994">
      <w:pPr>
        <w:pStyle w:val="BodyTextBLLP"/>
        <w:numPr>
          <w:ilvl w:val="1"/>
          <w:numId w:val="16"/>
        </w:numPr>
      </w:pPr>
      <w:r>
        <w:t>Sarver</w:t>
      </w:r>
      <w:r w:rsidR="00F26A1E">
        <w:t xml:space="preserve"> – make sure that whatever we decide on the amicus front is incorporated into final budget.</w:t>
      </w:r>
    </w:p>
    <w:p w:rsidR="00F26A1E" w:rsidP="00F26A1E" w:rsidRDefault="008F252D" w14:paraId="46133BF9" w14:textId="624366E6">
      <w:pPr>
        <w:pStyle w:val="BodyTextBLLP"/>
        <w:numPr>
          <w:ilvl w:val="1"/>
          <w:numId w:val="16"/>
        </w:numPr>
      </w:pPr>
      <w:r>
        <w:t>Konwinski</w:t>
      </w:r>
      <w:r w:rsidR="00F26A1E">
        <w:t xml:space="preserve"> – we are going to put together a packet with financial, minutes, and agenda before the meeting. </w:t>
      </w:r>
    </w:p>
    <w:p w:rsidR="00F26A1E" w:rsidP="00F26A1E" w:rsidRDefault="008F252D" w14:paraId="707B1239" w14:textId="1DCBC46F">
      <w:pPr>
        <w:pStyle w:val="BodyTextBLLP"/>
        <w:numPr>
          <w:ilvl w:val="0"/>
          <w:numId w:val="16"/>
        </w:numPr>
      </w:pPr>
      <w:r>
        <w:rPr>
          <w:u w:val="single"/>
        </w:rPr>
        <w:t>Administrator Report</w:t>
      </w:r>
      <w:r>
        <w:t>: Kamp is dealing with a death in the family and may not be on the call, expected to be late.</w:t>
      </w:r>
    </w:p>
    <w:p w:rsidR="008F252D" w:rsidP="00F26A1E" w:rsidRDefault="008F252D" w14:paraId="04DC6E72" w14:textId="77777777">
      <w:pPr>
        <w:pStyle w:val="BodyTextBLLP"/>
        <w:numPr>
          <w:ilvl w:val="0"/>
          <w:numId w:val="16"/>
        </w:numPr>
      </w:pPr>
      <w:r>
        <w:rPr>
          <w:u w:val="single"/>
        </w:rPr>
        <w:t>Chair Report</w:t>
      </w:r>
      <w:r w:rsidRPr="008F252D">
        <w:t>:</w:t>
      </w:r>
      <w:r>
        <w:t xml:space="preserve"> committees were refreshed at and following October 22 meeting. Old list from website was updated. </w:t>
      </w:r>
    </w:p>
    <w:p w:rsidR="008F252D" w:rsidP="008F252D" w:rsidRDefault="008F252D" w14:paraId="68CC8227" w14:textId="111E422C">
      <w:pPr>
        <w:pStyle w:val="BodyTextBLLP"/>
        <w:numPr>
          <w:ilvl w:val="1"/>
          <w:numId w:val="16"/>
        </w:numPr>
      </w:pPr>
      <w:r>
        <w:t xml:space="preserve">Question from McLellan-Brandt about joining – believe any section member can join a committee even if they are not on the council. </w:t>
      </w:r>
    </w:p>
    <w:p w:rsidR="008F252D" w:rsidP="008F252D" w:rsidRDefault="008F252D" w14:paraId="17E3E548" w14:textId="160F9FE0">
      <w:pPr>
        <w:pStyle w:val="BodyTextBLLP"/>
        <w:numPr>
          <w:ilvl w:val="1"/>
          <w:numId w:val="16"/>
        </w:numPr>
      </w:pPr>
      <w:r>
        <w:t xml:space="preserve">Joint conference – held at Lansing Community College West Campus – great event with good turnout (hence higher revenue noted above by Kissling). 2026 is not our year to host but 2027 will be – there will be an opportunity for assistance with planning. </w:t>
      </w:r>
    </w:p>
    <w:p w:rsidR="008F252D" w:rsidP="008F252D" w:rsidRDefault="008F252D" w14:paraId="01432BD3" w14:textId="58061EF3">
      <w:pPr>
        <w:pStyle w:val="BodyTextBLLP"/>
        <w:numPr>
          <w:ilvl w:val="2"/>
          <w:numId w:val="16"/>
        </w:numPr>
      </w:pPr>
      <w:r>
        <w:lastRenderedPageBreak/>
        <w:t>Sarver – when should we start organizing if we are hosting in 2027?</w:t>
      </w:r>
    </w:p>
    <w:p w:rsidR="008F252D" w:rsidP="008F252D" w:rsidRDefault="008F252D" w14:paraId="57616958" w14:textId="166C8A18">
      <w:pPr>
        <w:pStyle w:val="BodyTextBLLP"/>
        <w:numPr>
          <w:ilvl w:val="3"/>
          <w:numId w:val="16"/>
        </w:numPr>
      </w:pPr>
      <w:r>
        <w:t xml:space="preserve">Kissling – for our hosting should </w:t>
      </w:r>
      <w:proofErr w:type="gramStart"/>
      <w:r>
        <w:t>look into</w:t>
      </w:r>
      <w:proofErr w:type="gramEnd"/>
      <w:r>
        <w:t xml:space="preserve"> it in June/July of the conference year – want to make sure we are on EGLE director’s calendar, which Kissling will do as soon as they have a date for 2027.  </w:t>
      </w:r>
    </w:p>
    <w:p w:rsidR="008F252D" w:rsidP="008F252D" w:rsidRDefault="008F252D" w14:paraId="0FCC758B" w14:textId="2850FA77">
      <w:pPr>
        <w:pStyle w:val="BodyTextBLLP"/>
        <w:numPr>
          <w:ilvl w:val="3"/>
          <w:numId w:val="16"/>
        </w:numPr>
      </w:pPr>
      <w:r>
        <w:t xml:space="preserve">Beach / Kissling / Sinkwitts are plugged in and will run point if others are interested in helping. </w:t>
      </w:r>
    </w:p>
    <w:p w:rsidR="008F252D" w:rsidP="00F26A1E" w:rsidRDefault="008F252D" w14:paraId="6F743DFE" w14:textId="74A7D573">
      <w:pPr>
        <w:pStyle w:val="BodyTextBLLP"/>
        <w:numPr>
          <w:ilvl w:val="0"/>
          <w:numId w:val="16"/>
        </w:numPr>
      </w:pPr>
      <w:r>
        <w:rPr>
          <w:u w:val="single"/>
        </w:rPr>
        <w:t>Subject Matter Committees</w:t>
      </w:r>
      <w:r w:rsidRPr="008F252D">
        <w:t>:</w:t>
      </w:r>
    </w:p>
    <w:p w:rsidR="00F94B93" w:rsidP="008F252D" w:rsidRDefault="008F252D" w14:paraId="6DC742A3" w14:textId="77777777">
      <w:pPr>
        <w:pStyle w:val="BodyTextBLLP"/>
        <w:numPr>
          <w:ilvl w:val="1"/>
          <w:numId w:val="16"/>
        </w:numPr>
      </w:pPr>
      <w:r>
        <w:rPr>
          <w:u w:val="single"/>
        </w:rPr>
        <w:t>Air (Kissling)</w:t>
      </w:r>
      <w:r w:rsidR="00F94B93">
        <w:rPr>
          <w:u w:val="single"/>
        </w:rPr>
        <w:t>:</w:t>
      </w:r>
      <w:r w:rsidRPr="00F94B93" w:rsidR="00F94B93">
        <w:t xml:space="preserve"> </w:t>
      </w:r>
    </w:p>
    <w:p w:rsidRPr="00F94B93" w:rsidR="008F252D" w:rsidP="00F94B93" w:rsidRDefault="00F94B93" w14:paraId="5A259B51" w14:textId="493CB65C">
      <w:pPr>
        <w:pStyle w:val="BodyTextBLLP"/>
        <w:numPr>
          <w:ilvl w:val="2"/>
          <w:numId w:val="16"/>
        </w:numPr>
      </w:pPr>
      <w:r>
        <w:t>C</w:t>
      </w:r>
      <w:r w:rsidRPr="00F94B93">
        <w:t xml:space="preserve">learing the air program co-hosted with </w:t>
      </w:r>
      <w:r>
        <w:t>Michigan Manufacturers Assn.</w:t>
      </w:r>
      <w:r w:rsidRPr="00F94B93">
        <w:t xml:space="preserve"> – </w:t>
      </w:r>
      <w:r w:rsidRPr="00F94B93">
        <w:rPr>
          <w:b/>
          <w:bCs/>
        </w:rPr>
        <w:t>June 2, 2026</w:t>
      </w:r>
    </w:p>
    <w:p w:rsidRPr="008F252D" w:rsidR="00F94B93" w:rsidP="00F94B93" w:rsidRDefault="00F94B93" w14:paraId="0C3C3D3B" w14:textId="0266F743">
      <w:pPr>
        <w:pStyle w:val="BodyTextBLLP"/>
        <w:numPr>
          <w:ilvl w:val="2"/>
          <w:numId w:val="16"/>
        </w:numPr>
      </w:pPr>
      <w:r w:rsidRPr="00F94B93">
        <w:t>Contact</w:t>
      </w:r>
      <w:r>
        <w:t xml:space="preserve"> Kamp or Kissling if you want to assist with planning, which is expected to start in January.</w:t>
      </w:r>
    </w:p>
    <w:p w:rsidRPr="00F94B93" w:rsidR="008F252D" w:rsidP="008F252D" w:rsidRDefault="008F252D" w14:paraId="6D2A76C7" w14:textId="471D416C">
      <w:pPr>
        <w:pStyle w:val="BodyTextBLLP"/>
        <w:numPr>
          <w:ilvl w:val="1"/>
          <w:numId w:val="16"/>
        </w:numPr>
      </w:pPr>
      <w:r>
        <w:rPr>
          <w:u w:val="single"/>
        </w:rPr>
        <w:t>Environmental Litigation (Konwinski)</w:t>
      </w:r>
      <w:r w:rsidR="00F94B93">
        <w:rPr>
          <w:u w:val="single"/>
        </w:rPr>
        <w:t>:</w:t>
      </w:r>
    </w:p>
    <w:p w:rsidR="00F94B93" w:rsidP="00F94B93" w:rsidRDefault="00F94B93" w14:paraId="310B2489" w14:textId="62C75673">
      <w:pPr>
        <w:pStyle w:val="BodyTextBLLP"/>
        <w:numPr>
          <w:ilvl w:val="2"/>
          <w:numId w:val="16"/>
        </w:numPr>
      </w:pPr>
      <w:r>
        <w:t xml:space="preserve">Heard from some non-council members who are interested in joining / participating. Planning to hold a committee meeting soon. </w:t>
      </w:r>
    </w:p>
    <w:p w:rsidR="00F94B93" w:rsidP="00F94B93" w:rsidRDefault="00F94B93" w14:paraId="6D5BEEDC" w14:textId="77777777">
      <w:pPr>
        <w:pStyle w:val="BodyTextBLLP"/>
        <w:numPr>
          <w:ilvl w:val="2"/>
          <w:numId w:val="16"/>
        </w:numPr>
      </w:pPr>
      <w:r>
        <w:t>Kissling – consider publishing committee meetings on ELS website?</w:t>
      </w:r>
    </w:p>
    <w:p w:rsidR="00F94B93" w:rsidP="00F94B93" w:rsidRDefault="00F94B93" w14:paraId="5252A1FD" w14:textId="14901FC6">
      <w:pPr>
        <w:pStyle w:val="BodyTextBLLP"/>
        <w:numPr>
          <w:ilvl w:val="3"/>
          <w:numId w:val="16"/>
        </w:numPr>
      </w:pPr>
      <w:r>
        <w:t xml:space="preserve">Konwinski – if you have a committee meeting let Kamp know and she can post it on the website so people who are interested can join. </w:t>
      </w:r>
    </w:p>
    <w:p w:rsidRPr="008F252D" w:rsidR="00F94B93" w:rsidP="00F94B93" w:rsidRDefault="00F94B93" w14:paraId="0E677356" w14:textId="43844EFE">
      <w:pPr>
        <w:pStyle w:val="BodyTextBLLP"/>
        <w:numPr>
          <w:ilvl w:val="2"/>
          <w:numId w:val="16"/>
        </w:numPr>
      </w:pPr>
      <w:r>
        <w:t xml:space="preserve">Sarver – can the committee make a bulletin board or place where we could see when people are arguing to either observe or grab lunch? </w:t>
      </w:r>
    </w:p>
    <w:p w:rsidRPr="008F252D" w:rsidR="008F252D" w:rsidP="008F252D" w:rsidRDefault="008F252D" w14:paraId="36793D58" w14:textId="2EB6741D">
      <w:pPr>
        <w:pStyle w:val="BodyTextBLLP"/>
        <w:numPr>
          <w:ilvl w:val="1"/>
          <w:numId w:val="16"/>
        </w:numPr>
      </w:pPr>
      <w:r>
        <w:rPr>
          <w:u w:val="single"/>
        </w:rPr>
        <w:t>Great Lakes and Inland Waters (Hammersley)</w:t>
      </w:r>
      <w:r w:rsidR="00F94B93">
        <w:rPr>
          <w:u w:val="single"/>
        </w:rPr>
        <w:t>:</w:t>
      </w:r>
      <w:r w:rsidR="0059062D">
        <w:t xml:space="preserve"> no substantive update, planning to have a call in January to consider some webinars for the coming year. </w:t>
      </w:r>
    </w:p>
    <w:p w:rsidR="008F252D" w:rsidP="008F252D" w:rsidRDefault="008F252D" w14:paraId="52CB4A74" w14:textId="7A91FF3F">
      <w:pPr>
        <w:pStyle w:val="BodyTextBLLP"/>
        <w:numPr>
          <w:ilvl w:val="1"/>
          <w:numId w:val="16"/>
        </w:numPr>
      </w:pPr>
      <w:r>
        <w:rPr>
          <w:u w:val="single"/>
        </w:rPr>
        <w:t>Hazardous Substances and Brownfields (Enright/Maloof)</w:t>
      </w:r>
      <w:r w:rsidR="00F94B93">
        <w:rPr>
          <w:u w:val="single"/>
        </w:rPr>
        <w:t>:</w:t>
      </w:r>
      <w:r w:rsidR="0059062D">
        <w:t xml:space="preserve"> thoughts about RCRA webinar, Part 115 webinar, having some people from ELGE about Brownfield site assessment grants, budget for 2026, opportunities for developers. </w:t>
      </w:r>
    </w:p>
    <w:p w:rsidR="0059062D" w:rsidP="0059062D" w:rsidRDefault="0059062D" w14:paraId="0AC54C01" w14:textId="487660A6">
      <w:pPr>
        <w:pStyle w:val="BodyTextBLLP"/>
        <w:numPr>
          <w:ilvl w:val="2"/>
          <w:numId w:val="16"/>
        </w:numPr>
      </w:pPr>
      <w:r>
        <w:t xml:space="preserve">Sarver – would be interested in developer opportunities, think that section membership would get a lot of value out of the first category. </w:t>
      </w:r>
    </w:p>
    <w:p w:rsidR="0059062D" w:rsidP="0059062D" w:rsidRDefault="0059062D" w14:paraId="7A821721" w14:textId="3919311B">
      <w:pPr>
        <w:pStyle w:val="BodyTextBLLP"/>
        <w:numPr>
          <w:ilvl w:val="2"/>
          <w:numId w:val="16"/>
        </w:numPr>
      </w:pPr>
      <w:r>
        <w:t xml:space="preserve">Kissling – consider partnering with other organizations on a particular topic – e.g. Real Estate on cleanup funding? </w:t>
      </w:r>
    </w:p>
    <w:p w:rsidR="0059062D" w:rsidP="0059062D" w:rsidRDefault="0059062D" w14:paraId="491CEA6D" w14:textId="36D9C624">
      <w:pPr>
        <w:pStyle w:val="BodyTextBLLP"/>
        <w:numPr>
          <w:ilvl w:val="1"/>
          <w:numId w:val="16"/>
        </w:numPr>
      </w:pPr>
      <w:r>
        <w:rPr>
          <w:u w:val="single"/>
        </w:rPr>
        <w:lastRenderedPageBreak/>
        <w:t>Journal / Publications:</w:t>
      </w:r>
      <w:r>
        <w:t xml:space="preserve"> hasn’t done anything since Konwinski has been active in council, no longer doing the Journal. </w:t>
      </w:r>
    </w:p>
    <w:p w:rsidR="0059062D" w:rsidP="0059062D" w:rsidRDefault="0059062D" w14:paraId="0FF619AB" w14:textId="0FB9C050">
      <w:pPr>
        <w:pStyle w:val="BodyTextBLLP"/>
        <w:numPr>
          <w:ilvl w:val="2"/>
          <w:numId w:val="16"/>
        </w:numPr>
      </w:pPr>
      <w:r>
        <w:rPr>
          <w:u w:val="single"/>
        </w:rPr>
        <w:t>Motion (Konwinski):</w:t>
      </w:r>
      <w:r>
        <w:t xml:space="preserve"> to eliminate the committee – Sarver second. None opposed – motion caries. </w:t>
      </w:r>
    </w:p>
    <w:p w:rsidR="0059062D" w:rsidP="0059062D" w:rsidRDefault="0059062D" w14:paraId="6E1EC8C7" w14:textId="10822CBE">
      <w:pPr>
        <w:pStyle w:val="BodyTextBLLP"/>
        <w:numPr>
          <w:ilvl w:val="1"/>
          <w:numId w:val="16"/>
        </w:numPr>
      </w:pPr>
      <w:proofErr w:type="spellStart"/>
      <w:r>
        <w:rPr>
          <w:u w:val="single"/>
        </w:rPr>
        <w:t>Deskbook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Committee</w:t>
      </w:r>
      <w:r>
        <w:t>:</w:t>
      </w:r>
      <w:proofErr w:type="gramEnd"/>
      <w:r>
        <w:t xml:space="preserve"> made some traction last year on potentially spending section funds to pay someone to do this. </w:t>
      </w:r>
    </w:p>
    <w:p w:rsidR="0059062D" w:rsidP="0059062D" w:rsidRDefault="0059062D" w14:paraId="7902F70B" w14:textId="2ED89C55">
      <w:pPr>
        <w:pStyle w:val="BodyTextBLLP"/>
        <w:numPr>
          <w:ilvl w:val="2"/>
          <w:numId w:val="16"/>
        </w:numPr>
      </w:pPr>
      <w:r>
        <w:rPr>
          <w:u w:val="single"/>
        </w:rPr>
        <w:t>Sarver</w:t>
      </w:r>
      <w:r>
        <w:t xml:space="preserve"> – would any law students be willing </w:t>
      </w:r>
      <w:r w:rsidR="00961162">
        <w:t xml:space="preserve">to do it for money or school credit – N. Hall – could serve as liaison with students. N. Hall could take on some additional responsibilities for publications in future. </w:t>
      </w:r>
    </w:p>
    <w:p w:rsidR="00961162" w:rsidP="00961162" w:rsidRDefault="00961162" w14:paraId="61004DCE" w14:textId="28C03BDB">
      <w:pPr>
        <w:pStyle w:val="BodyTextBLLP"/>
        <w:numPr>
          <w:ilvl w:val="1"/>
          <w:numId w:val="16"/>
        </w:numPr>
      </w:pPr>
      <w:r>
        <w:rPr>
          <w:u w:val="single"/>
        </w:rPr>
        <w:t>Program Committee (Schebor)</w:t>
      </w:r>
      <w:r w:rsidRPr="00961162">
        <w:t>:</w:t>
      </w:r>
      <w:r>
        <w:t xml:space="preserve"> Consider if there’s a speaker that our section members would want to hear from – we would likely have to pay travel expenses or some other cost to get a speaker to come give a presentation. </w:t>
      </w:r>
    </w:p>
    <w:p w:rsidR="00961162" w:rsidP="00961162" w:rsidRDefault="00961162" w14:paraId="30E6147D" w14:textId="12ADE096">
      <w:pPr>
        <w:pStyle w:val="BodyTextBLLP"/>
        <w:numPr>
          <w:ilvl w:val="2"/>
          <w:numId w:val="16"/>
        </w:numPr>
      </w:pPr>
      <w:r>
        <w:rPr>
          <w:u w:val="single"/>
        </w:rPr>
        <w:t xml:space="preserve">Konwinski </w:t>
      </w:r>
      <w:r>
        <w:t xml:space="preserve">– please reach out if you have a suggestion for a speaker at the summer program. </w:t>
      </w:r>
    </w:p>
    <w:p w:rsidR="00961162" w:rsidP="00961162" w:rsidRDefault="00961162" w14:paraId="5BF60D73" w14:textId="13C79701">
      <w:pPr>
        <w:pStyle w:val="BodyTextBLLP"/>
        <w:numPr>
          <w:ilvl w:val="2"/>
          <w:numId w:val="16"/>
        </w:numPr>
      </w:pPr>
      <w:r>
        <w:rPr>
          <w:u w:val="single"/>
        </w:rPr>
        <w:t xml:space="preserve">Sarver </w:t>
      </w:r>
      <w:r>
        <w:t xml:space="preserve">– consider if we could move a little broader than straight environmental – perhaps marketing environmental services, etc. </w:t>
      </w:r>
    </w:p>
    <w:p w:rsidR="00961162" w:rsidP="00961162" w:rsidRDefault="00961162" w14:paraId="569EBF18" w14:textId="77777777">
      <w:pPr>
        <w:pStyle w:val="BodyTextBLLP"/>
        <w:numPr>
          <w:ilvl w:val="2"/>
          <w:numId w:val="16"/>
        </w:numPr>
      </w:pPr>
      <w:r>
        <w:rPr>
          <w:u w:val="single"/>
        </w:rPr>
        <w:t xml:space="preserve">Kissling </w:t>
      </w:r>
      <w:r>
        <w:t>– Aaron Keatley?</w:t>
      </w:r>
    </w:p>
    <w:p w:rsidR="00961162" w:rsidP="00961162" w:rsidRDefault="00961162" w14:paraId="48686D9E" w14:textId="77777777">
      <w:pPr>
        <w:pStyle w:val="BodyTextBLLP"/>
        <w:numPr>
          <w:ilvl w:val="2"/>
          <w:numId w:val="16"/>
        </w:numPr>
      </w:pPr>
      <w:r>
        <w:rPr>
          <w:u w:val="single"/>
        </w:rPr>
        <w:t xml:space="preserve">Considine </w:t>
      </w:r>
      <w:r>
        <w:t xml:space="preserve">– decision against ELGE relating to PFAS cleanup at Gerald Ford Airport. </w:t>
      </w:r>
    </w:p>
    <w:p w:rsidR="00961162" w:rsidP="00961162" w:rsidRDefault="00961162" w14:paraId="6AE7193B" w14:textId="3AB07802">
      <w:pPr>
        <w:pStyle w:val="BodyTextBLLP"/>
        <w:numPr>
          <w:ilvl w:val="3"/>
          <w:numId w:val="16"/>
        </w:numPr>
      </w:pPr>
      <w:r>
        <w:rPr>
          <w:u w:val="single"/>
        </w:rPr>
        <w:t xml:space="preserve">Kissling </w:t>
      </w:r>
      <w:r>
        <w:t xml:space="preserve">– PFAS webinar might be joint effort of Litigation and Haz Substances committees? </w:t>
      </w:r>
    </w:p>
    <w:p w:rsidR="00961162" w:rsidP="00961162" w:rsidRDefault="00961162" w14:paraId="422379AD" w14:textId="77777777">
      <w:pPr>
        <w:pStyle w:val="BodyTextBLLP"/>
        <w:numPr>
          <w:ilvl w:val="0"/>
          <w:numId w:val="16"/>
        </w:numPr>
      </w:pPr>
      <w:r>
        <w:rPr>
          <w:u w:val="single"/>
        </w:rPr>
        <w:t>New Business</w:t>
      </w:r>
      <w:r w:rsidRPr="00961162">
        <w:t>:</w:t>
      </w:r>
      <w:r>
        <w:t xml:space="preserve"> </w:t>
      </w:r>
    </w:p>
    <w:p w:rsidR="00961162" w:rsidP="00961162" w:rsidRDefault="00961162" w14:paraId="6543AAFD" w14:textId="33E5823E">
      <w:pPr>
        <w:pStyle w:val="BodyTextBLLP"/>
        <w:numPr>
          <w:ilvl w:val="1"/>
          <w:numId w:val="16"/>
        </w:numPr>
      </w:pPr>
      <w:r>
        <w:rPr>
          <w:u w:val="single"/>
        </w:rPr>
        <w:t>Maloof</w:t>
      </w:r>
      <w:r w:rsidRPr="00961162">
        <w:t>:</w:t>
      </w:r>
      <w:r>
        <w:t xml:space="preserve"> there are pending HB / SB about 210 and 255 tax abatements for Brownfield projects. If those do not go through those abatements will sunset after 12/31/25. </w:t>
      </w:r>
    </w:p>
    <w:p w:rsidR="007A2617" w:rsidP="00961162" w:rsidRDefault="007A2617" w14:paraId="4E24B8DB" w14:textId="7091695D">
      <w:pPr>
        <w:pStyle w:val="BodyTextBLLP"/>
        <w:numPr>
          <w:ilvl w:val="1"/>
          <w:numId w:val="16"/>
        </w:numPr>
      </w:pPr>
      <w:r>
        <w:rPr>
          <w:u w:val="single"/>
        </w:rPr>
        <w:t>Gotthelf</w:t>
      </w:r>
      <w:r w:rsidRPr="007A2617">
        <w:t>:</w:t>
      </w:r>
      <w:r>
        <w:t xml:space="preserve"> there have been meetings among stakeholders – consider the purposes of the abatements.</w:t>
      </w:r>
    </w:p>
    <w:p w:rsidR="007A2617" w:rsidP="007A2617" w:rsidRDefault="00F94B93" w14:paraId="6EF9503A" w14:textId="1FAE0E84">
      <w:pPr>
        <w:pStyle w:val="BodyTextBLLP"/>
        <w:numPr>
          <w:ilvl w:val="0"/>
          <w:numId w:val="16"/>
        </w:numPr>
      </w:pPr>
      <w:r>
        <w:rPr>
          <w:u w:val="single"/>
        </w:rPr>
        <w:t>Amicus Committee (Konwinski / Sarver)</w:t>
      </w:r>
      <w:r w:rsidRPr="008F252D">
        <w:t>:</w:t>
      </w:r>
      <w:r>
        <w:t xml:space="preserve"> </w:t>
      </w:r>
      <w:r w:rsidR="007A2617">
        <w:t xml:space="preserve">warning for folks to jump off due to conflicts. Discussion of considering an adjournment so that we have more time to discuss, given that it is 1:00 PM. </w:t>
      </w:r>
    </w:p>
    <w:p w:rsidR="00132B61" w:rsidP="0059062D" w:rsidRDefault="007A2617" w14:paraId="1ACB53E6" w14:textId="3330F515">
      <w:pPr>
        <w:pStyle w:val="BodyTextBLLP"/>
        <w:numPr>
          <w:ilvl w:val="1"/>
          <w:numId w:val="16"/>
        </w:numPr>
      </w:pPr>
      <w:r>
        <w:rPr>
          <w:u w:val="single"/>
        </w:rPr>
        <w:t>Gotthelf</w:t>
      </w:r>
      <w:r>
        <w:t xml:space="preserve">: what is our position on the amicus briefs – updated from Sarver / Konwinski. </w:t>
      </w:r>
    </w:p>
    <w:p w:rsidRPr="00263965" w:rsidR="007A2617" w:rsidP="0059062D" w:rsidRDefault="007A2617" w14:paraId="6DA47518" w14:textId="7D5DA80C">
      <w:pPr>
        <w:pStyle w:val="BodyTextBLLP"/>
        <w:numPr>
          <w:ilvl w:val="1"/>
          <w:numId w:val="16"/>
        </w:numPr>
      </w:pPr>
      <w:r>
        <w:rPr>
          <w:u w:val="single"/>
        </w:rPr>
        <w:lastRenderedPageBreak/>
        <w:t>Motion (Konwinski)</w:t>
      </w:r>
      <w:r w:rsidRPr="007A2617">
        <w:t>:</w:t>
      </w:r>
      <w:r>
        <w:t xml:space="preserve"> to adjourn discussion of the amicus brief. Sarver – second, noting that Watson had to leave </w:t>
      </w:r>
      <w:proofErr w:type="gramStart"/>
      <w:r>
        <w:t>and also</w:t>
      </w:r>
      <w:proofErr w:type="gramEnd"/>
      <w:r>
        <w:t xml:space="preserve"> requested a brief adjournment. Want all interested members to have opportunity to share their thoughts and comments. </w:t>
      </w:r>
    </w:p>
    <w:sectPr w:rsidRPr="00263965" w:rsidR="007A2617" w:rsidSect="0087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A1E" w:rsidRDefault="00F26A1E" w14:paraId="7CEC807F" w14:textId="77777777">
      <w:r>
        <w:separator/>
      </w:r>
    </w:p>
  </w:endnote>
  <w:endnote w:type="continuationSeparator" w:id="0">
    <w:p w:rsidR="00F26A1E" w:rsidRDefault="00F26A1E" w14:paraId="642F05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14" w:rsidRDefault="00CA6414" w14:paraId="70E0A8ED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6414" w:rsidRDefault="00CA6414" w14:paraId="75BD8434" w14:textId="77777777">
    <w:pPr>
      <w:pStyle w:val="Footer"/>
      <w:ind w:right="360"/>
    </w:pPr>
  </w:p>
  <w:p w:rsidR="00CA6414" w:rsidRDefault="00CA6414" w14:paraId="0285C5B1" w14:textId="77777777"/>
  <w:p w:rsidR="00CA6414" w:rsidRDefault="00CA6414" w14:paraId="60FDC21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36FC" w:rsidR="00CA6414" w:rsidP="008736FC" w:rsidRDefault="008736FC" w14:paraId="115EC9CF" w14:textId="77777777">
    <w:pPr>
      <w:pStyle w:val="Footer"/>
      <w:jc w:val="center"/>
      <w:rPr>
        <w:szCs w:val="24"/>
      </w:rPr>
    </w:pPr>
    <w:r w:rsidRPr="008736FC">
      <w:rPr>
        <w:szCs w:val="24"/>
      </w:rPr>
      <w:fldChar w:fldCharType="begin"/>
    </w:r>
    <w:r w:rsidRPr="008736FC">
      <w:rPr>
        <w:szCs w:val="24"/>
      </w:rPr>
      <w:instrText xml:space="preserve"> PAGE   \* MERGEFORMAT </w:instrText>
    </w:r>
    <w:r w:rsidRPr="008736FC">
      <w:rPr>
        <w:szCs w:val="24"/>
      </w:rPr>
      <w:fldChar w:fldCharType="separate"/>
    </w:r>
    <w:r w:rsidR="00AD7F45">
      <w:rPr>
        <w:noProof/>
        <w:szCs w:val="24"/>
      </w:rPr>
      <w:t>2</w:t>
    </w:r>
    <w:r w:rsidRPr="008736FC">
      <w:rPr>
        <w:noProof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86" w:rsidRDefault="009C0F86" w14:paraId="32AF96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A1E" w:rsidRDefault="00F26A1E" w14:paraId="0F35C64E" w14:textId="77777777">
      <w:r>
        <w:separator/>
      </w:r>
    </w:p>
  </w:footnote>
  <w:footnote w:type="continuationSeparator" w:id="0">
    <w:p w:rsidR="00F26A1E" w:rsidRDefault="00F26A1E" w14:paraId="70C722B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414" w:rsidRDefault="00CA6414" w14:paraId="7C59EC28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6414" w:rsidRDefault="00CA6414" w14:paraId="20C5ABE6" w14:textId="77777777">
    <w:pPr>
      <w:pStyle w:val="Header"/>
      <w:ind w:right="360"/>
    </w:pPr>
  </w:p>
  <w:p w:rsidR="00CA6414" w:rsidRDefault="00CA6414" w14:paraId="5A6069A6" w14:textId="77777777"/>
  <w:p w:rsidR="00CA6414" w:rsidRDefault="00CA6414" w14:paraId="3FC1F00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86" w:rsidRDefault="009C0F86" w14:paraId="2849235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F86" w:rsidRDefault="009C0F86" w14:paraId="0E0C68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BC2A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A034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82E0CC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5F43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097D2DEF"/>
    <w:multiLevelType w:val="hybridMultilevel"/>
    <w:tmpl w:val="E99C9B14"/>
    <w:lvl w:ilvl="0" w:tplc="494EC576">
      <w:start w:val="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0F0720"/>
    <w:multiLevelType w:val="hybridMultilevel"/>
    <w:tmpl w:val="0960EB36"/>
    <w:lvl w:ilvl="0" w:tplc="69428C6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55E77"/>
    <w:multiLevelType w:val="hybridMultilevel"/>
    <w:tmpl w:val="805CBDD2"/>
    <w:lvl w:ilvl="0" w:tplc="6EC61EFE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7032737"/>
    <w:multiLevelType w:val="multilevel"/>
    <w:tmpl w:val="340C13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7AFD184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80979879">
    <w:abstractNumId w:val="5"/>
  </w:num>
  <w:num w:numId="2" w16cid:durableId="1730150704">
    <w:abstractNumId w:val="4"/>
  </w:num>
  <w:num w:numId="3" w16cid:durableId="199055055">
    <w:abstractNumId w:val="3"/>
  </w:num>
  <w:num w:numId="4" w16cid:durableId="938804247">
    <w:abstractNumId w:val="2"/>
  </w:num>
  <w:num w:numId="5" w16cid:durableId="447430656">
    <w:abstractNumId w:val="1"/>
  </w:num>
  <w:num w:numId="6" w16cid:durableId="82725174">
    <w:abstractNumId w:val="0"/>
  </w:num>
  <w:num w:numId="7" w16cid:durableId="1185904502">
    <w:abstractNumId w:val="6"/>
  </w:num>
  <w:num w:numId="8" w16cid:durableId="773136232">
    <w:abstractNumId w:val="10"/>
  </w:num>
  <w:num w:numId="9" w16cid:durableId="849105570">
    <w:abstractNumId w:val="13"/>
  </w:num>
  <w:num w:numId="10" w16cid:durableId="129714062">
    <w:abstractNumId w:val="14"/>
  </w:num>
  <w:num w:numId="11" w16cid:durableId="756288523">
    <w:abstractNumId w:val="11"/>
  </w:num>
  <w:num w:numId="12" w16cid:durableId="1386493717">
    <w:abstractNumId w:val="12"/>
  </w:num>
  <w:num w:numId="13" w16cid:durableId="684476843">
    <w:abstractNumId w:val="15"/>
  </w:num>
  <w:num w:numId="14" w16cid:durableId="630669207">
    <w:abstractNumId w:val="7"/>
  </w:num>
  <w:num w:numId="15" w16cid:durableId="1467089054">
    <w:abstractNumId w:val="8"/>
  </w:num>
  <w:num w:numId="16" w16cid:durableId="142056675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1E"/>
    <w:rsid w:val="00003FC7"/>
    <w:rsid w:val="000602BB"/>
    <w:rsid w:val="00132B61"/>
    <w:rsid w:val="001964A4"/>
    <w:rsid w:val="001B144D"/>
    <w:rsid w:val="00263965"/>
    <w:rsid w:val="0030624C"/>
    <w:rsid w:val="00335991"/>
    <w:rsid w:val="00385721"/>
    <w:rsid w:val="003A3BCB"/>
    <w:rsid w:val="003F1EFA"/>
    <w:rsid w:val="0059062D"/>
    <w:rsid w:val="00653E5B"/>
    <w:rsid w:val="006C2F83"/>
    <w:rsid w:val="006D5039"/>
    <w:rsid w:val="0076365A"/>
    <w:rsid w:val="007A2617"/>
    <w:rsid w:val="007D3240"/>
    <w:rsid w:val="008736FC"/>
    <w:rsid w:val="008A0920"/>
    <w:rsid w:val="008F252D"/>
    <w:rsid w:val="00951D36"/>
    <w:rsid w:val="009536B2"/>
    <w:rsid w:val="00961162"/>
    <w:rsid w:val="00983586"/>
    <w:rsid w:val="009C0F86"/>
    <w:rsid w:val="00A76A3F"/>
    <w:rsid w:val="00AD40D2"/>
    <w:rsid w:val="00AD7F45"/>
    <w:rsid w:val="00B943C1"/>
    <w:rsid w:val="00B95721"/>
    <w:rsid w:val="00BB5BA2"/>
    <w:rsid w:val="00BC73B7"/>
    <w:rsid w:val="00C375D6"/>
    <w:rsid w:val="00CA6414"/>
    <w:rsid w:val="00D04632"/>
    <w:rsid w:val="00D51A27"/>
    <w:rsid w:val="00D87071"/>
    <w:rsid w:val="00DB2470"/>
    <w:rsid w:val="00ED17C2"/>
    <w:rsid w:val="00F26A1E"/>
    <w:rsid w:val="00F4425F"/>
    <w:rsid w:val="00F94B93"/>
    <w:rsid w:val="00FA6EA1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A4D02"/>
  <w15:docId w15:val="{2E633D8A-DFD1-42B5-856D-5F4F5A64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A1E"/>
    <w:rPr>
      <w:sz w:val="24"/>
    </w:rPr>
  </w:style>
  <w:style w:type="paragraph" w:styleId="Heading1">
    <w:name w:val="heading 1"/>
    <w:basedOn w:val="Heading"/>
    <w:qFormat/>
    <w:pPr>
      <w:numPr>
        <w:numId w:val="10"/>
      </w:numPr>
      <w:tabs>
        <w:tab w:val="clear" w:pos="720"/>
      </w:tabs>
      <w:outlineLvl w:val="0"/>
    </w:pPr>
  </w:style>
  <w:style w:type="paragraph" w:styleId="Heading2">
    <w:name w:val="heading 2"/>
    <w:basedOn w:val="Heading"/>
    <w:qFormat/>
    <w:pPr>
      <w:numPr>
        <w:ilvl w:val="1"/>
        <w:numId w:val="10"/>
      </w:numPr>
      <w:tabs>
        <w:tab w:val="clear" w:pos="1440"/>
      </w:tabs>
      <w:outlineLvl w:val="1"/>
    </w:pPr>
  </w:style>
  <w:style w:type="paragraph" w:styleId="Heading3">
    <w:name w:val="heading 3"/>
    <w:basedOn w:val="Heading"/>
    <w:qFormat/>
    <w:pPr>
      <w:numPr>
        <w:ilvl w:val="2"/>
        <w:numId w:val="10"/>
      </w:numPr>
      <w:tabs>
        <w:tab w:val="clear" w:pos="2160"/>
      </w:tabs>
      <w:outlineLvl w:val="2"/>
    </w:pPr>
  </w:style>
  <w:style w:type="paragraph" w:styleId="Heading4">
    <w:name w:val="heading 4"/>
    <w:basedOn w:val="Heading"/>
    <w:next w:val="BodyTextBLLP"/>
    <w:qFormat/>
    <w:pPr>
      <w:numPr>
        <w:ilvl w:val="3"/>
        <w:numId w:val="10"/>
      </w:numPr>
      <w:tabs>
        <w:tab w:val="clear" w:pos="2880"/>
      </w:tabs>
      <w:outlineLvl w:val="3"/>
    </w:pPr>
  </w:style>
  <w:style w:type="paragraph" w:styleId="Heading5">
    <w:name w:val="heading 5"/>
    <w:basedOn w:val="Heading"/>
    <w:next w:val="BodyTextBLLP"/>
    <w:qFormat/>
    <w:pPr>
      <w:numPr>
        <w:ilvl w:val="4"/>
        <w:numId w:val="10"/>
      </w:numPr>
      <w:outlineLvl w:val="4"/>
    </w:pPr>
  </w:style>
  <w:style w:type="paragraph" w:styleId="Heading6">
    <w:name w:val="heading 6"/>
    <w:basedOn w:val="Heading"/>
    <w:next w:val="BodyTextBLLP"/>
    <w:qFormat/>
    <w:pPr>
      <w:numPr>
        <w:ilvl w:val="5"/>
        <w:numId w:val="10"/>
      </w:numPr>
      <w:outlineLvl w:val="5"/>
    </w:pPr>
  </w:style>
  <w:style w:type="paragraph" w:styleId="Heading7">
    <w:name w:val="heading 7"/>
    <w:basedOn w:val="Heading"/>
    <w:next w:val="BodyTextBLLP"/>
    <w:qFormat/>
    <w:pPr>
      <w:numPr>
        <w:ilvl w:val="6"/>
        <w:numId w:val="10"/>
      </w:numPr>
      <w:outlineLvl w:val="6"/>
    </w:pPr>
  </w:style>
  <w:style w:type="paragraph" w:styleId="Heading8">
    <w:name w:val="heading 8"/>
    <w:basedOn w:val="Heading"/>
    <w:next w:val="BodyTextBLLP"/>
    <w:qFormat/>
    <w:pPr>
      <w:numPr>
        <w:ilvl w:val="7"/>
        <w:numId w:val="10"/>
      </w:numPr>
      <w:outlineLvl w:val="7"/>
    </w:pPr>
  </w:style>
  <w:style w:type="paragraph" w:styleId="Heading9">
    <w:name w:val="heading 9"/>
    <w:basedOn w:val="Heading"/>
    <w:next w:val="BodyTextBLLP"/>
    <w:qFormat/>
    <w:pPr>
      <w:numPr>
        <w:ilvl w:val="8"/>
        <w:numId w:val="10"/>
      </w:numPr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" w:customStyle="1">
    <w:name w:val="Heading"/>
    <w:basedOn w:val="Normal"/>
    <w:pPr>
      <w:spacing w:after="240"/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</w:style>
  <w:style w:type="paragraph" w:styleId="Caption">
    <w:name w:val="caption"/>
    <w:basedOn w:val="Normal"/>
    <w:next w:val="Normal"/>
    <w:qFormat/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Company" w:customStyle="1">
    <w:name w:val="Company"/>
    <w:basedOn w:val="Normal"/>
    <w:pPr>
      <w:spacing w:after="240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rsid w:val="00132B61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pPr>
      <w:spacing w:after="120"/>
      <w:ind w:left="360" w:hanging="360"/>
    </w:pPr>
    <w:rPr>
      <w:sz w:val="20"/>
    </w:rPr>
  </w:style>
  <w:style w:type="paragraph" w:styleId="Header">
    <w:name w:val="header"/>
    <w:rPr>
      <w:noProof/>
      <w:sz w:val="24"/>
    </w:rPr>
  </w:style>
  <w:style w:type="paragraph" w:styleId="Index1">
    <w:name w:val="index 1"/>
    <w:basedOn w:val="Index"/>
    <w:next w:val="Normal"/>
    <w:autoRedefine/>
  </w:style>
  <w:style w:type="paragraph" w:styleId="Index" w:customStyle="1">
    <w:name w:val="Index"/>
    <w:basedOn w:val="Normal"/>
  </w:style>
  <w:style w:type="paragraph" w:styleId="Index2">
    <w:name w:val="index 2"/>
    <w:basedOn w:val="Index1"/>
    <w:next w:val="Normal"/>
    <w:autoRedefine/>
    <w:pPr>
      <w:ind w:left="360"/>
    </w:pPr>
  </w:style>
  <w:style w:type="paragraph" w:styleId="Index3">
    <w:name w:val="index 3"/>
    <w:basedOn w:val="Index2"/>
    <w:next w:val="Normal"/>
    <w:autoRedefine/>
    <w:pPr>
      <w:ind w:left="720"/>
    </w:pPr>
  </w:style>
  <w:style w:type="paragraph" w:styleId="Index4">
    <w:name w:val="index 4"/>
    <w:basedOn w:val="Index3"/>
    <w:next w:val="Normal"/>
    <w:autoRedefine/>
    <w:pPr>
      <w:ind w:left="1080"/>
    </w:pPr>
  </w:style>
  <w:style w:type="paragraph" w:styleId="Index5">
    <w:name w:val="index 5"/>
    <w:basedOn w:val="Index4"/>
    <w:next w:val="Normal"/>
    <w:autoRedefine/>
    <w:pPr>
      <w:ind w:left="1440"/>
    </w:pPr>
  </w:style>
  <w:style w:type="paragraph" w:styleId="Index6">
    <w:name w:val="index 6"/>
    <w:basedOn w:val="Index5"/>
    <w:next w:val="Normal"/>
    <w:autoRedefine/>
    <w:semiHidden/>
    <w:pPr>
      <w:ind w:left="1800"/>
    </w:pPr>
  </w:style>
  <w:style w:type="paragraph" w:styleId="Index7">
    <w:name w:val="index 7"/>
    <w:basedOn w:val="Index6"/>
    <w:next w:val="Normal"/>
    <w:autoRedefine/>
    <w:semiHidden/>
    <w:pPr>
      <w:ind w:left="2160"/>
    </w:pPr>
  </w:style>
  <w:style w:type="paragraph" w:styleId="Index8">
    <w:name w:val="index 8"/>
    <w:basedOn w:val="Index7"/>
    <w:next w:val="Normal"/>
    <w:autoRedefine/>
    <w:semiHidden/>
    <w:pPr>
      <w:ind w:left="2520"/>
    </w:pPr>
  </w:style>
  <w:style w:type="paragraph" w:styleId="Index9">
    <w:name w:val="index 9"/>
    <w:basedOn w:val="Index8"/>
    <w:next w:val="Normal"/>
    <w:autoRedefine/>
    <w:semiHidden/>
    <w:pPr>
      <w:ind w:left="2880"/>
    </w:pPr>
  </w:style>
  <w:style w:type="paragraph" w:styleId="IndexHeading">
    <w:name w:val="index heading"/>
    <w:basedOn w:val="Normal"/>
    <w:next w:val="Index1"/>
    <w:semiHidden/>
  </w:style>
  <w:style w:type="paragraph" w:styleId="ListContinue">
    <w:name w:val="List Continue"/>
    <w:basedOn w:val="Normal"/>
    <w:semiHidden/>
    <w:pPr>
      <w:spacing w:before="240"/>
    </w:pPr>
  </w:style>
  <w:style w:type="paragraph" w:styleId="ListContinue2">
    <w:name w:val="List Continue 2"/>
    <w:basedOn w:val="ListContinue"/>
    <w:semiHidden/>
    <w:pPr>
      <w:ind w:left="72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2160"/>
    </w:pPr>
  </w:style>
  <w:style w:type="paragraph" w:styleId="ListContinue5">
    <w:name w:val="List Continue 5"/>
    <w:basedOn w:val="ListContinue"/>
    <w:semiHidden/>
    <w:pPr>
      <w:ind w:left="2880"/>
    </w:pPr>
  </w:style>
  <w:style w:type="character" w:styleId="PageNumber">
    <w:name w:val="page number"/>
    <w:basedOn w:val="DefaultParagraphFont"/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itle">
    <w:name w:val="Title"/>
    <w:basedOn w:val="Normal"/>
    <w:qFormat/>
    <w:pPr>
      <w:spacing w:after="240"/>
      <w:jc w:val="center"/>
    </w:pPr>
    <w:rPr>
      <w:b/>
    </w:rPr>
  </w:style>
  <w:style w:type="paragraph" w:styleId="TOAHeading">
    <w:name w:val="toa heading"/>
    <w:basedOn w:val="Normal"/>
    <w:next w:val="Normal"/>
    <w:semiHidden/>
    <w:pPr>
      <w:spacing w:after="120"/>
    </w:pPr>
    <w:rPr>
      <w:b/>
    </w:rPr>
  </w:style>
  <w:style w:type="paragraph" w:styleId="TOC2">
    <w:name w:val="toc 2"/>
    <w:basedOn w:val="TOC1"/>
    <w:autoRedefine/>
    <w:pPr>
      <w:spacing w:before="0"/>
      <w:ind w:left="720" w:right="720"/>
    </w:pPr>
  </w:style>
  <w:style w:type="paragraph" w:styleId="TOC1">
    <w:name w:val="toc 1"/>
    <w:basedOn w:val="Normal"/>
    <w:autoRedefine/>
    <w:pPr>
      <w:tabs>
        <w:tab w:val="decimal" w:leader="dot" w:pos="9360"/>
      </w:tabs>
      <w:spacing w:before="240"/>
      <w:ind w:left="360" w:hanging="360"/>
    </w:pPr>
    <w:rPr>
      <w:b/>
    </w:rPr>
  </w:style>
  <w:style w:type="paragraph" w:styleId="TOC3">
    <w:name w:val="toc 3"/>
    <w:basedOn w:val="TOC2"/>
    <w:autoRedefine/>
    <w:pPr>
      <w:ind w:left="1080"/>
    </w:pPr>
  </w:style>
  <w:style w:type="paragraph" w:styleId="TOC4">
    <w:name w:val="toc 4"/>
    <w:basedOn w:val="TOC3"/>
    <w:next w:val="Normal"/>
    <w:autoRedefine/>
    <w:semiHidden/>
    <w:pPr>
      <w:ind w:left="1440"/>
    </w:pPr>
  </w:style>
  <w:style w:type="paragraph" w:styleId="TOC5">
    <w:name w:val="toc 5"/>
    <w:basedOn w:val="TOC4"/>
    <w:next w:val="Normal"/>
    <w:autoRedefine/>
    <w:semiHidden/>
    <w:pPr>
      <w:ind w:left="180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3">
    <w:name w:val="List Bullet 3"/>
    <w:basedOn w:val="Normal"/>
    <w:autoRedefine/>
    <w:pPr>
      <w:numPr>
        <w:numId w:val="1"/>
      </w:numPr>
      <w:tabs>
        <w:tab w:val="clear" w:pos="1080"/>
      </w:tabs>
      <w:ind w:left="2160" w:hanging="720"/>
    </w:pPr>
  </w:style>
  <w:style w:type="paragraph" w:styleId="ListBullet4">
    <w:name w:val="List Bullet 4"/>
    <w:basedOn w:val="Normal"/>
    <w:autoRedefine/>
    <w:pPr>
      <w:numPr>
        <w:numId w:val="2"/>
      </w:numPr>
      <w:tabs>
        <w:tab w:val="clear" w:pos="1440"/>
      </w:tabs>
      <w:ind w:left="2880" w:hanging="720"/>
    </w:pPr>
  </w:style>
  <w:style w:type="paragraph" w:styleId="ListBullet5">
    <w:name w:val="List Bullet 5"/>
    <w:basedOn w:val="Normal"/>
    <w:autoRedefine/>
    <w:semiHidden/>
    <w:pPr>
      <w:numPr>
        <w:numId w:val="3"/>
      </w:numPr>
      <w:tabs>
        <w:tab w:val="clear" w:pos="1800"/>
      </w:tabs>
      <w:ind w:left="3600" w:hanging="720"/>
    </w:pPr>
  </w:style>
  <w:style w:type="paragraph" w:styleId="ListNumber3">
    <w:name w:val="List Number 3"/>
    <w:basedOn w:val="ListNumber"/>
    <w:semiHidden/>
    <w:pPr>
      <w:numPr>
        <w:numId w:val="4"/>
      </w:numPr>
      <w:tabs>
        <w:tab w:val="clear" w:pos="1080"/>
      </w:tabs>
      <w:ind w:left="2160" w:hanging="720"/>
    </w:pPr>
  </w:style>
  <w:style w:type="paragraph" w:styleId="ListNumber">
    <w:name w:val="List Number"/>
    <w:basedOn w:val="Normal"/>
    <w:semiHidden/>
    <w:pPr>
      <w:numPr>
        <w:numId w:val="12"/>
      </w:numPr>
    </w:pPr>
  </w:style>
  <w:style w:type="paragraph" w:styleId="ListNumber4">
    <w:name w:val="List Number 4"/>
    <w:basedOn w:val="ListNumber"/>
    <w:semiHidden/>
    <w:pPr>
      <w:numPr>
        <w:numId w:val="5"/>
      </w:numPr>
      <w:tabs>
        <w:tab w:val="clear" w:pos="1440"/>
      </w:tabs>
      <w:ind w:left="2880" w:hanging="720"/>
    </w:pPr>
  </w:style>
  <w:style w:type="paragraph" w:styleId="ListNumber5">
    <w:name w:val="List Number 5"/>
    <w:basedOn w:val="ListNumber"/>
    <w:semiHidden/>
    <w:pPr>
      <w:numPr>
        <w:numId w:val="6"/>
      </w:numPr>
      <w:tabs>
        <w:tab w:val="clear" w:pos="1800"/>
      </w:tabs>
      <w:ind w:left="3600" w:hanging="720"/>
    </w:pPr>
  </w:style>
  <w:style w:type="paragraph" w:styleId="NoteHeading">
    <w:name w:val="Note Heading"/>
    <w:basedOn w:val="Normal"/>
    <w:next w:val="Normal"/>
  </w:style>
  <w:style w:type="paragraph" w:styleId="TOC9">
    <w:name w:val="toc 9"/>
    <w:basedOn w:val="TOC8"/>
    <w:next w:val="Normal"/>
    <w:autoRedefine/>
    <w:semiHidden/>
    <w:pPr>
      <w:ind w:left="3240"/>
    </w:pPr>
  </w:style>
  <w:style w:type="paragraph" w:styleId="TOC8">
    <w:name w:val="toc 8"/>
    <w:basedOn w:val="TOC7"/>
    <w:next w:val="Normal"/>
    <w:autoRedefine/>
    <w:semiHidden/>
    <w:pPr>
      <w:ind w:left="2880"/>
    </w:pPr>
  </w:style>
  <w:style w:type="paragraph" w:styleId="TOC7">
    <w:name w:val="toc 7"/>
    <w:basedOn w:val="TOC6"/>
    <w:next w:val="Normal"/>
    <w:autoRedefine/>
    <w:semiHidden/>
    <w:pPr>
      <w:ind w:left="2520"/>
    </w:pPr>
  </w:style>
  <w:style w:type="paragraph" w:styleId="TOC6">
    <w:name w:val="toc 6"/>
    <w:basedOn w:val="TOC5"/>
    <w:next w:val="Normal"/>
    <w:autoRedefine/>
    <w:semiHidden/>
    <w:pPr>
      <w:ind w:left="2160"/>
    </w:pPr>
  </w:style>
  <w:style w:type="paragraph" w:styleId="Salutation">
    <w:name w:val="Salutation"/>
    <w:basedOn w:val="Normal"/>
    <w:next w:val="Normal"/>
  </w:style>
  <w:style w:type="paragraph" w:styleId="ListNumber2">
    <w:name w:val="List Number 2"/>
    <w:basedOn w:val="ListNumber"/>
    <w:semiHidden/>
    <w:pPr>
      <w:numPr>
        <w:numId w:val="0"/>
      </w:numPr>
      <w:tabs>
        <w:tab w:val="num" w:pos="1800"/>
      </w:tabs>
      <w:ind w:left="1440" w:hanging="720"/>
    </w:pPr>
  </w:style>
  <w:style w:type="paragraph" w:styleId="List5">
    <w:name w:val="List 5"/>
    <w:basedOn w:val="List4"/>
    <w:semiHidden/>
    <w:pPr>
      <w:ind w:left="3600"/>
    </w:pPr>
  </w:style>
  <w:style w:type="paragraph" w:styleId="List4">
    <w:name w:val="List 4"/>
    <w:basedOn w:val="List3"/>
    <w:semiHidden/>
    <w:pPr>
      <w:ind w:left="2880"/>
    </w:pPr>
  </w:style>
  <w:style w:type="paragraph" w:styleId="List3">
    <w:name w:val="List 3"/>
    <w:basedOn w:val="List2"/>
    <w:semiHidden/>
    <w:pPr>
      <w:ind w:left="2160"/>
    </w:pPr>
  </w:style>
  <w:style w:type="paragraph" w:styleId="List2">
    <w:name w:val="List 2"/>
    <w:basedOn w:val="List1"/>
    <w:semiHidden/>
    <w:pPr>
      <w:ind w:left="1440"/>
    </w:pPr>
  </w:style>
  <w:style w:type="paragraph" w:styleId="List1" w:customStyle="1">
    <w:name w:val="List 1"/>
    <w:basedOn w:val="List"/>
    <w:semiHidden/>
    <w:pPr>
      <w:ind w:left="720" w:hanging="720"/>
    </w:pPr>
  </w:style>
  <w:style w:type="paragraph" w:styleId="List">
    <w:name w:val="List"/>
    <w:basedOn w:val="Normal"/>
    <w:semiHidden/>
  </w:style>
  <w:style w:type="paragraph" w:styleId="Date">
    <w:name w:val="Date"/>
    <w:basedOn w:val="Normal"/>
    <w:next w:val="Normal"/>
  </w:style>
  <w:style w:type="paragraph" w:styleId="ListBullet2">
    <w:name w:val="List Bullet 2"/>
    <w:basedOn w:val="Normal"/>
    <w:autoRedefine/>
    <w:pPr>
      <w:numPr>
        <w:numId w:val="7"/>
      </w:numPr>
      <w:tabs>
        <w:tab w:val="clear" w:pos="720"/>
      </w:tabs>
      <w:ind w:left="1440" w:hanging="720"/>
    </w:p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styleId="Signature">
    <w:name w:val="Signature"/>
    <w:basedOn w:val="Normal"/>
    <w:pPr>
      <w:ind w:left="4320"/>
    </w:pPr>
  </w:style>
  <w:style w:type="paragraph" w:styleId="Address" w:customStyle="1">
    <w:name w:val="Address"/>
    <w:basedOn w:val="Normal"/>
    <w:next w:val="Normal"/>
  </w:style>
  <w:style w:type="paragraph" w:styleId="ccList" w:customStyle="1">
    <w:name w:val="cc List"/>
    <w:basedOn w:val="Normal"/>
    <w:next w:val="Normal"/>
  </w:style>
  <w:style w:type="paragraph" w:styleId="Enclosure" w:customStyle="1">
    <w:name w:val="Enclosure"/>
    <w:basedOn w:val="Normal"/>
    <w:next w:val="Normal"/>
    <w:pPr>
      <w:spacing w:after="240"/>
    </w:pPr>
  </w:style>
  <w:style w:type="paragraph" w:styleId="Initials" w:customStyle="1">
    <w:name w:val="Initials"/>
    <w:basedOn w:val="Normal"/>
    <w:next w:val="Normal"/>
    <w:pPr>
      <w:spacing w:after="240"/>
    </w:pPr>
  </w:style>
  <w:style w:type="paragraph" w:styleId="Privacy" w:customStyle="1">
    <w:name w:val="Privacy"/>
    <w:basedOn w:val="Normal"/>
    <w:next w:val="Normal"/>
    <w:semiHidden/>
    <w:pPr>
      <w:spacing w:before="240" w:after="240"/>
      <w:jc w:val="center"/>
    </w:pPr>
    <w:rPr>
      <w:b/>
    </w:rPr>
  </w:style>
  <w:style w:type="paragraph" w:styleId="ReLine" w:customStyle="1">
    <w:name w:val="Re Line"/>
    <w:basedOn w:val="Normal"/>
    <w:next w:val="Normal"/>
    <w:pPr>
      <w:spacing w:before="240" w:after="240"/>
      <w:ind w:left="2880" w:hanging="1440"/>
    </w:pPr>
  </w:style>
  <w:style w:type="paragraph" w:styleId="QuoteContinued" w:customStyle="1">
    <w:name w:val="Quote Continued"/>
    <w:basedOn w:val="BodyTextBLLP"/>
    <w:next w:val="BodyTextBLLP"/>
    <w:pPr>
      <w:ind w:firstLine="0"/>
    </w:pPr>
  </w:style>
  <w:style w:type="paragraph" w:styleId="BodyTextBLLP" w:customStyle="1">
    <w:name w:val="Body Text BLLP"/>
    <w:basedOn w:val="Normal"/>
    <w:rsid w:val="009C0F86"/>
    <w:pPr>
      <w:spacing w:after="240"/>
      <w:ind w:firstLine="720"/>
      <w:jc w:val="both"/>
    </w:pPr>
  </w:style>
  <w:style w:type="character" w:styleId="CommentReference">
    <w:name w:val="annotation reference"/>
    <w:basedOn w:val="DefaultParagraphFont"/>
    <w:semiHidden/>
    <w:rPr>
      <w:rFonts w:ascii="Times New Roman" w:hAnsi="Times New Roman"/>
      <w:color w:val="FF0000"/>
      <w:sz w:val="16"/>
    </w:rPr>
  </w:style>
  <w:style w:type="paragraph" w:styleId="FooterLandscape" w:customStyle="1">
    <w:name w:val="Footer Landscape"/>
    <w:basedOn w:val="Normal"/>
    <w:pPr>
      <w:tabs>
        <w:tab w:val="center" w:pos="6480"/>
        <w:tab w:val="right" w:pos="12960"/>
      </w:tabs>
    </w:pPr>
  </w:style>
  <w:style w:type="paragraph" w:styleId="HeaderLandscape" w:customStyle="1">
    <w:name w:val="Header Landscape"/>
    <w:basedOn w:val="Normal"/>
    <w:pPr>
      <w:tabs>
        <w:tab w:val="center" w:pos="6480"/>
        <w:tab w:val="right" w:pos="12960"/>
      </w:tabs>
    </w:pPr>
  </w:style>
  <w:style w:type="paragraph" w:styleId="BelowDate" w:customStyle="1">
    <w:name w:val="BelowDate"/>
    <w:basedOn w:val="Normal"/>
    <w:semiHidden/>
    <w:pPr>
      <w:framePr w:hSpace="187" w:wrap="notBeside" w:hAnchor="text" w:vAnchor="page" w:xAlign="center" w:y="3241"/>
      <w:jc w:val="center"/>
    </w:pPr>
  </w:style>
  <w:style w:type="character" w:styleId="FootnoteReference">
    <w:name w:val="footnote reference"/>
    <w:basedOn w:val="DefaultParagraphFont"/>
    <w:rPr>
      <w:color w:val="auto"/>
      <w:position w:val="6"/>
      <w:sz w:val="18"/>
    </w:rPr>
  </w:style>
  <w:style w:type="paragraph" w:styleId="heading1notoc" w:customStyle="1">
    <w:name w:val="heading 1 (no toc)"/>
    <w:basedOn w:val="Heading1"/>
    <w:next w:val="BodyTextBLLP"/>
    <w:pPr>
      <w:outlineLvl w:val="9"/>
    </w:pPr>
  </w:style>
  <w:style w:type="paragraph" w:styleId="heading2notoc" w:customStyle="1">
    <w:name w:val="heading 2 (no toc)"/>
    <w:basedOn w:val="Heading2"/>
    <w:next w:val="BodyTextBLLP"/>
    <w:pPr>
      <w:outlineLvl w:val="9"/>
    </w:pPr>
  </w:style>
  <w:style w:type="paragraph" w:styleId="heading3notoc" w:customStyle="1">
    <w:name w:val="heading 3 (no toc)"/>
    <w:basedOn w:val="Heading3"/>
    <w:next w:val="BodyTextBLLP"/>
    <w:pPr>
      <w:outlineLvl w:val="9"/>
    </w:pPr>
  </w:style>
  <w:style w:type="paragraph" w:styleId="heading4notoc" w:customStyle="1">
    <w:name w:val="heading 4 (no toc)"/>
    <w:basedOn w:val="Heading4"/>
    <w:next w:val="BodyTextBLLP"/>
    <w:pPr>
      <w:outlineLvl w:val="9"/>
    </w:pPr>
  </w:style>
  <w:style w:type="paragraph" w:styleId="heading5notoc" w:customStyle="1">
    <w:name w:val="heading 5 (no toc)"/>
    <w:basedOn w:val="Heading5"/>
    <w:next w:val="BodyTextBLLP"/>
    <w:pPr>
      <w:outlineLvl w:val="9"/>
    </w:pPr>
  </w:style>
  <w:style w:type="character" w:styleId="LineNumber">
    <w:name w:val="line number"/>
    <w:basedOn w:val="DefaultParagraphFont"/>
  </w:style>
  <w:style w:type="paragraph" w:styleId="List1d" w:customStyle="1">
    <w:name w:val="List 1.d"/>
    <w:basedOn w:val="List1"/>
    <w:semiHidden/>
    <w:pPr>
      <w:tabs>
        <w:tab w:val="decimal" w:pos="1080"/>
      </w:tabs>
      <w:ind w:left="1440" w:hanging="1440"/>
    </w:pPr>
  </w:style>
  <w:style w:type="paragraph" w:styleId="List2d" w:customStyle="1">
    <w:name w:val="List 2.d"/>
    <w:basedOn w:val="List2"/>
    <w:semiHidden/>
    <w:pPr>
      <w:tabs>
        <w:tab w:val="decimal" w:pos="1800"/>
      </w:tabs>
      <w:ind w:left="2160" w:hanging="1440"/>
    </w:pPr>
  </w:style>
  <w:style w:type="paragraph" w:styleId="List3d" w:customStyle="1">
    <w:name w:val="List 3.d"/>
    <w:basedOn w:val="List3"/>
    <w:semiHidden/>
    <w:pPr>
      <w:tabs>
        <w:tab w:val="decimal" w:pos="2520"/>
      </w:tabs>
      <w:ind w:left="2880" w:hanging="1440"/>
    </w:pPr>
  </w:style>
  <w:style w:type="paragraph" w:styleId="List4d" w:customStyle="1">
    <w:name w:val="List 4.d"/>
    <w:basedOn w:val="List4"/>
    <w:semiHidden/>
    <w:pPr>
      <w:tabs>
        <w:tab w:val="decimal" w:pos="3240"/>
      </w:tabs>
      <w:ind w:left="3600" w:hanging="1440"/>
    </w:pPr>
  </w:style>
  <w:style w:type="paragraph" w:styleId="List5d" w:customStyle="1">
    <w:name w:val="List 5.d"/>
    <w:basedOn w:val="List5"/>
    <w:semiHidden/>
    <w:pPr>
      <w:tabs>
        <w:tab w:val="decimal" w:pos="3960"/>
      </w:tabs>
      <w:ind w:left="4320" w:hanging="144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Plain" w:customStyle="1">
    <w:name w:val="Plain"/>
    <w:semiHidden/>
    <w:pPr>
      <w:spacing w:line="240" w:lineRule="exact"/>
    </w:pPr>
    <w:rPr>
      <w:sz w:val="24"/>
    </w:rPr>
  </w:style>
  <w:style w:type="paragraph" w:styleId="Quote1" w:customStyle="1">
    <w:name w:val="Quote1"/>
    <w:basedOn w:val="Normal"/>
    <w:next w:val="QuoteContinued"/>
    <w:pPr>
      <w:spacing w:after="240"/>
      <w:ind w:left="1440" w:right="1440"/>
    </w:pPr>
  </w:style>
  <w:style w:type="paragraph" w:styleId="QuoteDoubleSpace" w:customStyle="1">
    <w:name w:val="Quote DoubleSpace"/>
    <w:basedOn w:val="Quote1"/>
    <w:next w:val="QuoteContinued"/>
    <w:pPr>
      <w:spacing w:after="0" w:line="480" w:lineRule="auto"/>
    </w:pPr>
  </w:style>
  <w:style w:type="paragraph" w:styleId="RecipientTitle" w:customStyle="1">
    <w:name w:val="RecipientTitle"/>
    <w:basedOn w:val="Normal"/>
  </w:style>
  <w:style w:type="paragraph" w:styleId="Recital" w:customStyle="1">
    <w:name w:val="Recital"/>
    <w:basedOn w:val="Normal"/>
    <w:next w:val="Normal"/>
    <w:pPr>
      <w:spacing w:before="480" w:after="240"/>
      <w:jc w:val="center"/>
    </w:pPr>
    <w:rPr>
      <w:caps/>
      <w:u w:val="words"/>
    </w:rPr>
  </w:style>
  <w:style w:type="paragraph" w:styleId="DocumentMap">
    <w:name w:val="Document Map"/>
    <w:basedOn w:val="Normal"/>
    <w:semiHidden/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ListBullet1" w:customStyle="1">
    <w:name w:val="List Bullet 1"/>
    <w:basedOn w:val="Normal"/>
    <w:autoRedefine/>
    <w:pPr>
      <w:numPr>
        <w:numId w:val="8"/>
      </w:numPr>
      <w:tabs>
        <w:tab w:val="clear" w:pos="360"/>
      </w:tabs>
      <w:ind w:left="720" w:hanging="720"/>
    </w:pPr>
  </w:style>
  <w:style w:type="paragraph" w:styleId="ListNumber1" w:customStyle="1">
    <w:name w:val="List Number 1"/>
    <w:basedOn w:val="ListNumber"/>
    <w:semiHidden/>
    <w:pPr>
      <w:numPr>
        <w:numId w:val="9"/>
      </w:numPr>
      <w:tabs>
        <w:tab w:val="clear" w:pos="360"/>
      </w:tabs>
      <w:ind w:left="720" w:hanging="7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</w:rPr>
  </w:style>
  <w:style w:type="character" w:styleId="Strong">
    <w:name w:val="Strong"/>
    <w:basedOn w:val="DefaultParagraphFont"/>
    <w:qFormat/>
    <w:rPr>
      <w:b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character" w:styleId="DocID" w:customStyle="1">
    <w:name w:val="DocID"/>
    <w:basedOn w:val="DefaultParagraphFont"/>
    <w:semiHidden/>
    <w:rPr>
      <w:rFonts w:ascii="Times New Roman" w:hAnsi="Times New Roman"/>
      <w:sz w:val="16"/>
    </w:rPr>
  </w:style>
  <w:style w:type="character" w:styleId="ParaNum" w:customStyle="1">
    <w:name w:val="ParaNum"/>
    <w:basedOn w:val="DefaultParagraphFont"/>
  </w:style>
  <w:style w:type="paragraph" w:styleId="Singlespace" w:customStyle="1">
    <w:name w:val="Singlespace"/>
    <w:basedOn w:val="Normal"/>
  </w:style>
  <w:style w:type="paragraph" w:styleId="Centerbold" w:customStyle="1">
    <w:name w:val="Centerbold"/>
    <w:basedOn w:val="Normal"/>
    <w:pPr>
      <w:spacing w:after="240"/>
      <w:jc w:val="center"/>
    </w:pPr>
    <w:rPr>
      <w:b/>
    </w:rPr>
  </w:style>
  <w:style w:type="numbering" w:styleId="111111">
    <w:name w:val="Outline List 2"/>
    <w:basedOn w:val="NoList"/>
    <w:semiHidden/>
    <w:pPr>
      <w:numPr>
        <w:numId w:val="13"/>
      </w:numPr>
    </w:pPr>
  </w:style>
  <w:style w:type="numbering" w:styleId="1ai">
    <w:name w:val="Outline List 1"/>
    <w:basedOn w:val="NoList"/>
    <w:semiHidden/>
    <w:pPr>
      <w:numPr>
        <w:numId w:val="14"/>
      </w:numPr>
    </w:pPr>
  </w:style>
  <w:style w:type="numbering" w:styleId="ArticleSection">
    <w:name w:val="Outline List 3"/>
    <w:basedOn w:val="NoList"/>
    <w:semiHidden/>
    <w:pPr>
      <w:numPr>
        <w:numId w:val="15"/>
      </w:numPr>
    </w:pPr>
  </w:style>
  <w:style w:type="paragraph" w:styleId="E-mailSignature">
    <w:name w:val="E-mail Signature"/>
    <w:basedOn w:val="Normal"/>
    <w:semiHidden/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paragraph" w:styleId="NormalWeb">
    <w:name w:val="Normal (Web)"/>
    <w:basedOn w:val="Normal"/>
    <w:semiHidden/>
    <w:rPr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TextChar" w:customStyle="1">
    <w:name w:val="Comment Text Char"/>
    <w:basedOn w:val="DefaultParagraphFont"/>
    <w:link w:val="CommentText"/>
    <w:semiHidden/>
    <w:rsid w:val="0030624C"/>
    <w:rPr>
      <w:sz w:val="24"/>
    </w:rPr>
  </w:style>
  <w:style w:type="paragraph" w:styleId="Wireinstructions" w:customStyle="1">
    <w:name w:val="Wire instructions"/>
    <w:basedOn w:val="Normal"/>
    <w:rsid w:val="00ED17C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