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B079" w14:textId="3E2D1D5C" w:rsidR="005834FF" w:rsidRPr="00D020EB" w:rsidRDefault="00073C52">
      <w:pPr>
        <w:rPr>
          <w:b/>
          <w:bCs/>
          <w:u w:val="single"/>
        </w:rPr>
      </w:pPr>
      <w:r w:rsidRPr="00D020EB">
        <w:rPr>
          <w:b/>
          <w:bCs/>
          <w:u w:val="single"/>
        </w:rPr>
        <w:t>SASIG Daily Webinars 7June 11June</w:t>
      </w:r>
    </w:p>
    <w:p w14:paraId="168B2F4E" w14:textId="74A270D1" w:rsidR="00073C52" w:rsidRDefault="00073C52"/>
    <w:p w14:paraId="0F93E58F" w14:textId="77777777" w:rsidR="00073C52" w:rsidRPr="00073C52" w:rsidRDefault="00073C52" w:rsidP="00073C52">
      <w:pPr>
        <w:rPr>
          <w:b/>
          <w:bCs/>
        </w:rPr>
      </w:pPr>
      <w:r w:rsidRPr="00073C52">
        <w:rPr>
          <w:b/>
          <w:bCs/>
        </w:rPr>
        <w:t>Monday 7 June 2021, 11am-12noon (BST)</w:t>
      </w:r>
    </w:p>
    <w:p w14:paraId="1210E829" w14:textId="3B323123" w:rsidR="00073C52" w:rsidRPr="00073C52" w:rsidRDefault="00073C52" w:rsidP="00073C52">
      <w:pPr>
        <w:rPr>
          <w:b/>
          <w:bCs/>
        </w:rPr>
      </w:pPr>
      <w:r w:rsidRPr="00073C52">
        <w:rPr>
          <w:b/>
          <w:bCs/>
        </w:rPr>
        <w:t>Authors of their own misfortune: Accidental managers and the onset of crisis</w:t>
      </w:r>
    </w:p>
    <w:p w14:paraId="65D15667" w14:textId="37DA4A42" w:rsidR="00073C52" w:rsidRDefault="00073C52" w:rsidP="00073C52">
      <w:pPr>
        <w:rPr>
          <w:b/>
          <w:bCs/>
        </w:rPr>
      </w:pPr>
      <w:r w:rsidRPr="00073C52">
        <w:rPr>
          <w:b/>
          <w:bCs/>
        </w:rPr>
        <w:t>https://www.thesasig.com/calendar/event/21-06-07-incident/</w:t>
      </w:r>
    </w:p>
    <w:p w14:paraId="4C5F9F5E" w14:textId="3D2C4287" w:rsidR="00073C52" w:rsidRPr="00073C52" w:rsidRDefault="00073C52" w:rsidP="00073C52">
      <w:r w:rsidRPr="00073C52">
        <w:t>The term crisis is often used incorrectly. At its core, the notion of a crisis can be seen to imply that an organisation is close to, or has passed, the point at which organisational controls have already failed catastrophically. It also implies the organisation may not be able to contain the task demands it faces and additional resources are needed in order to address those challenges. However, crisis – along with the notion of risk – is often misused, and invariably applied to high profile and catastrophic events. There is another aspect of the crisis process that concerns the day-to-day management practices that can embed the vulnerability for failure within the very systems and processes that managers are in place to manage! Put another way, managers become the ‘authors of their own misfortune’ by generating the foundational elements for failure that are exposed by a triggering event.</w:t>
      </w:r>
    </w:p>
    <w:p w14:paraId="227B0419" w14:textId="77777777" w:rsidR="00381153" w:rsidRDefault="00381153" w:rsidP="00073C52">
      <w:pPr>
        <w:rPr>
          <w:b/>
          <w:bCs/>
        </w:rPr>
      </w:pPr>
    </w:p>
    <w:p w14:paraId="48E321C3" w14:textId="0D376DC6" w:rsidR="00073C52" w:rsidRPr="00073C52" w:rsidRDefault="00073C52" w:rsidP="00073C52">
      <w:pPr>
        <w:rPr>
          <w:b/>
          <w:bCs/>
        </w:rPr>
      </w:pPr>
      <w:r w:rsidRPr="00073C52">
        <w:rPr>
          <w:b/>
          <w:bCs/>
        </w:rPr>
        <w:t>Tuesday 8 June 2021, 11am-12noon (BST)</w:t>
      </w:r>
    </w:p>
    <w:p w14:paraId="7DF3C0CE" w14:textId="7010A050" w:rsidR="00073C52" w:rsidRPr="00073C52" w:rsidRDefault="00073C52" w:rsidP="00073C52">
      <w:pPr>
        <w:rPr>
          <w:b/>
          <w:bCs/>
        </w:rPr>
      </w:pPr>
      <w:r w:rsidRPr="00073C52">
        <w:rPr>
          <w:b/>
          <w:bCs/>
        </w:rPr>
        <w:t>How to beat the cybersecurity culture blocks II - Building on your experience</w:t>
      </w:r>
    </w:p>
    <w:p w14:paraId="4ED0665D" w14:textId="4C9303B1" w:rsidR="00073C52" w:rsidRDefault="00073C52" w:rsidP="00073C52">
      <w:pPr>
        <w:rPr>
          <w:b/>
          <w:bCs/>
        </w:rPr>
      </w:pPr>
      <w:r w:rsidRPr="00073C52">
        <w:rPr>
          <w:b/>
          <w:bCs/>
        </w:rPr>
        <w:t>https://www.thesasig.com/calendar/event/21-06-08-awareness/</w:t>
      </w:r>
    </w:p>
    <w:p w14:paraId="3F016C93" w14:textId="1A80F0E6" w:rsidR="00073C52" w:rsidRDefault="00073C52" w:rsidP="00073C52">
      <w:r w:rsidRPr="00073C52">
        <w:t xml:space="preserve">Our first How to beat the cybersecurity culture blocks webinar created a sharing forum. From this we developed practical approaches and tips to overcome </w:t>
      </w:r>
      <w:r w:rsidRPr="00073C52">
        <w:rPr>
          <w:b/>
          <w:bCs/>
        </w:rPr>
        <w:t>the four common blocks to cybersecurity culture success</w:t>
      </w:r>
      <w:r w:rsidRPr="00073C52">
        <w:t xml:space="preserve"> — and shared it.</w:t>
      </w:r>
      <w:r>
        <w:t xml:space="preserve"> </w:t>
      </w:r>
      <w:r w:rsidRPr="00073C52">
        <w:t>In this second webinar, we delve deeper into these four blocks. Your peers will share what they have done to tackle these blocks and the impact their efforts have had.</w:t>
      </w:r>
    </w:p>
    <w:p w14:paraId="758218D1" w14:textId="77777777" w:rsidR="007615F8" w:rsidRPr="007615F8" w:rsidRDefault="007615F8" w:rsidP="007615F8">
      <w:pPr>
        <w:rPr>
          <w:b/>
          <w:bCs/>
        </w:rPr>
      </w:pPr>
      <w:r w:rsidRPr="007615F8">
        <w:rPr>
          <w:b/>
          <w:bCs/>
        </w:rPr>
        <w:t xml:space="preserve">Find the report at </w:t>
      </w:r>
      <w:proofErr w:type="spellStart"/>
      <w:r w:rsidRPr="007615F8">
        <w:rPr>
          <w:b/>
          <w:bCs/>
        </w:rPr>
        <w:t>thesecuritycompany</w:t>
      </w:r>
      <w:proofErr w:type="spellEnd"/>
    </w:p>
    <w:p w14:paraId="7CF4F755" w14:textId="770BF748" w:rsidR="007615F8" w:rsidRPr="007615F8" w:rsidRDefault="007615F8" w:rsidP="007615F8">
      <w:pPr>
        <w:rPr>
          <w:b/>
          <w:bCs/>
        </w:rPr>
      </w:pPr>
      <w:r w:rsidRPr="007615F8">
        <w:rPr>
          <w:b/>
          <w:bCs/>
        </w:rPr>
        <w:t>How to beat the Cybersecurity culture blocks</w:t>
      </w:r>
    </w:p>
    <w:p w14:paraId="46B28E15" w14:textId="77777777" w:rsidR="007615F8" w:rsidRPr="007615F8" w:rsidRDefault="007615F8" w:rsidP="007615F8">
      <w:pPr>
        <w:rPr>
          <w:b/>
          <w:bCs/>
        </w:rPr>
      </w:pPr>
      <w:r w:rsidRPr="007615F8">
        <w:rPr>
          <w:b/>
          <w:bCs/>
        </w:rPr>
        <w:t>https://www.thesecuritycompany.com/cybersecurity-culture-blocks/</w:t>
      </w:r>
    </w:p>
    <w:p w14:paraId="1684AF45" w14:textId="5794C6FE" w:rsidR="007615F8" w:rsidRPr="007615F8" w:rsidRDefault="007615F8" w:rsidP="007615F8">
      <w:pPr>
        <w:rPr>
          <w:b/>
          <w:bCs/>
        </w:rPr>
      </w:pPr>
      <w:r w:rsidRPr="007615F8">
        <w:rPr>
          <w:b/>
          <w:bCs/>
        </w:rPr>
        <w:t>In minimising cyber risk and maximising resilience to cyber threats, your organisation’s cybersecurity culture is critical. And whatever the firmographics and demographics of a business, there will always be blocks barring your way to the creation of the required cybersecurity culture. This report is an easy-to-follow guide to the four most common blocks to cybersecurity culture success and a compilation of the practical, proven steps you can take to overcome them.</w:t>
      </w:r>
    </w:p>
    <w:p w14:paraId="12BB8AE7" w14:textId="77777777" w:rsidR="007615F8" w:rsidRPr="007615F8" w:rsidRDefault="007615F8" w:rsidP="007615F8">
      <w:pPr>
        <w:rPr>
          <w:b/>
          <w:bCs/>
        </w:rPr>
      </w:pPr>
      <w:r w:rsidRPr="007615F8">
        <w:rPr>
          <w:b/>
          <w:bCs/>
        </w:rPr>
        <w:t>Block One – Getting your message across</w:t>
      </w:r>
    </w:p>
    <w:p w14:paraId="3FCC847A" w14:textId="77777777" w:rsidR="007615F8" w:rsidRPr="007615F8" w:rsidRDefault="007615F8" w:rsidP="007615F8">
      <w:pPr>
        <w:rPr>
          <w:b/>
          <w:bCs/>
        </w:rPr>
      </w:pPr>
      <w:r w:rsidRPr="007615F8">
        <w:rPr>
          <w:b/>
          <w:bCs/>
        </w:rPr>
        <w:t>Block Two – Engaging stakeholders entrenched in team silos</w:t>
      </w:r>
    </w:p>
    <w:p w14:paraId="24031DE1" w14:textId="77777777" w:rsidR="007615F8" w:rsidRPr="007615F8" w:rsidRDefault="007615F8" w:rsidP="007615F8">
      <w:pPr>
        <w:rPr>
          <w:b/>
          <w:bCs/>
        </w:rPr>
      </w:pPr>
      <w:r w:rsidRPr="007615F8">
        <w:rPr>
          <w:b/>
          <w:bCs/>
        </w:rPr>
        <w:t>Block Three – Getting the board to take the lead</w:t>
      </w:r>
    </w:p>
    <w:p w14:paraId="5FA669B7" w14:textId="269E073F" w:rsidR="007615F8" w:rsidRPr="007615F8" w:rsidRDefault="007615F8" w:rsidP="007615F8">
      <w:pPr>
        <w:rPr>
          <w:b/>
          <w:bCs/>
        </w:rPr>
      </w:pPr>
      <w:r w:rsidRPr="007615F8">
        <w:rPr>
          <w:b/>
          <w:bCs/>
        </w:rPr>
        <w:t>Block Four – Demonstrating your business impact</w:t>
      </w:r>
    </w:p>
    <w:p w14:paraId="63FFA41E" w14:textId="3E2FD85C" w:rsidR="007615F8" w:rsidRDefault="007615F8" w:rsidP="00073C52">
      <w:pPr>
        <w:rPr>
          <w:b/>
          <w:bCs/>
        </w:rPr>
      </w:pPr>
    </w:p>
    <w:p w14:paraId="4C8C27C6" w14:textId="37DEB56A" w:rsidR="00381153" w:rsidRDefault="00381153" w:rsidP="00073C52">
      <w:pPr>
        <w:rPr>
          <w:b/>
          <w:bCs/>
        </w:rPr>
      </w:pPr>
    </w:p>
    <w:p w14:paraId="75E27F38" w14:textId="77777777" w:rsidR="00381153" w:rsidRDefault="00381153" w:rsidP="00073C52">
      <w:pPr>
        <w:rPr>
          <w:b/>
          <w:bCs/>
        </w:rPr>
      </w:pPr>
    </w:p>
    <w:p w14:paraId="4F28B1F2" w14:textId="3D403A0C" w:rsidR="00073C52" w:rsidRPr="00073C52" w:rsidRDefault="00073C52" w:rsidP="00073C52">
      <w:pPr>
        <w:rPr>
          <w:b/>
          <w:bCs/>
        </w:rPr>
      </w:pPr>
      <w:r w:rsidRPr="00073C52">
        <w:rPr>
          <w:b/>
          <w:bCs/>
        </w:rPr>
        <w:t>Wednesday 9 June 2021, 11am-12noon (BST)</w:t>
      </w:r>
    </w:p>
    <w:p w14:paraId="131AF856" w14:textId="1481B5D0" w:rsidR="00073C52" w:rsidRPr="00073C52" w:rsidRDefault="00073C52" w:rsidP="00073C52">
      <w:pPr>
        <w:rPr>
          <w:b/>
          <w:bCs/>
        </w:rPr>
      </w:pPr>
      <w:r w:rsidRPr="00073C52">
        <w:rPr>
          <w:b/>
          <w:bCs/>
        </w:rPr>
        <w:t>MITRE ATT&amp;CK Mania: A guide to understanding vendor positioning and why it matters</w:t>
      </w:r>
    </w:p>
    <w:p w14:paraId="37FC5122" w14:textId="22FCCF8D" w:rsidR="00073C52" w:rsidRPr="00073C52" w:rsidRDefault="00073C52" w:rsidP="00073C52">
      <w:pPr>
        <w:rPr>
          <w:b/>
          <w:bCs/>
        </w:rPr>
      </w:pPr>
      <w:r w:rsidRPr="00073C52">
        <w:rPr>
          <w:b/>
          <w:bCs/>
        </w:rPr>
        <w:t>https://www.thesasig.com/calendar/event/21-06-09-intelligence/</w:t>
      </w:r>
    </w:p>
    <w:p w14:paraId="5867CE12" w14:textId="77777777" w:rsidR="00073C52" w:rsidRDefault="00073C52" w:rsidP="00073C52">
      <w:r>
        <w:t xml:space="preserve">The MITRE </w:t>
      </w:r>
      <w:proofErr w:type="spellStart"/>
      <w:r>
        <w:t>Engenuity</w:t>
      </w:r>
      <w:proofErr w:type="spellEnd"/>
      <w:r>
        <w:t xml:space="preserve"> ATT&amp;CK Framework has become an integral part of IT security. Every year, MITRE </w:t>
      </w:r>
      <w:proofErr w:type="spellStart"/>
      <w:r>
        <w:t>Engenuity</w:t>
      </w:r>
      <w:proofErr w:type="spellEnd"/>
      <w:r>
        <w:t xml:space="preserve"> tests the most important Endpoint Detection and Response (EDR) manufacturers and checks how well they perform in a real attack scenario. The results are always eagerly awaited as they are an important decision-making tool for companies when determining their security strategy.</w:t>
      </w:r>
    </w:p>
    <w:p w14:paraId="7CB2B9D2" w14:textId="77777777" w:rsidR="00073C52" w:rsidRDefault="00073C52" w:rsidP="00073C52">
      <w:r>
        <w:t>In this webinar, you will get a detailed insight into the criteria used for the evaluation, the results, and how they should be interpreted, plus:</w:t>
      </w:r>
    </w:p>
    <w:p w14:paraId="766707DD" w14:textId="77777777" w:rsidR="00073C52" w:rsidRPr="00073C52" w:rsidRDefault="00073C52" w:rsidP="00073C52">
      <w:pPr>
        <w:pStyle w:val="ListParagraph"/>
        <w:numPr>
          <w:ilvl w:val="0"/>
          <w:numId w:val="1"/>
        </w:numPr>
        <w:rPr>
          <w:b/>
          <w:bCs/>
        </w:rPr>
      </w:pPr>
      <w:r w:rsidRPr="00073C52">
        <w:rPr>
          <w:b/>
          <w:bCs/>
        </w:rPr>
        <w:t>Why the ATT&amp;CK evaluation is relevant for your company</w:t>
      </w:r>
    </w:p>
    <w:p w14:paraId="69A58ED0" w14:textId="77777777" w:rsidR="00073C52" w:rsidRPr="00073C52" w:rsidRDefault="00073C52" w:rsidP="00073C52">
      <w:pPr>
        <w:pStyle w:val="ListParagraph"/>
        <w:numPr>
          <w:ilvl w:val="0"/>
          <w:numId w:val="1"/>
        </w:numPr>
        <w:rPr>
          <w:b/>
          <w:bCs/>
        </w:rPr>
      </w:pPr>
      <w:r w:rsidRPr="00073C52">
        <w:rPr>
          <w:b/>
          <w:bCs/>
        </w:rPr>
        <w:t xml:space="preserve">How the ATT&amp;CK evaluation is </w:t>
      </w:r>
      <w:proofErr w:type="gramStart"/>
      <w:r w:rsidRPr="00073C52">
        <w:rPr>
          <w:b/>
          <w:bCs/>
        </w:rPr>
        <w:t>tested</w:t>
      </w:r>
      <w:proofErr w:type="gramEnd"/>
    </w:p>
    <w:p w14:paraId="0F64A033" w14:textId="77777777" w:rsidR="00073C52" w:rsidRPr="00073C52" w:rsidRDefault="00073C52" w:rsidP="00073C52">
      <w:pPr>
        <w:pStyle w:val="ListParagraph"/>
        <w:numPr>
          <w:ilvl w:val="0"/>
          <w:numId w:val="1"/>
        </w:numPr>
        <w:rPr>
          <w:b/>
          <w:bCs/>
        </w:rPr>
      </w:pPr>
      <w:r w:rsidRPr="00073C52">
        <w:rPr>
          <w:b/>
          <w:bCs/>
        </w:rPr>
        <w:t>How to evaluate the results most effectively</w:t>
      </w:r>
    </w:p>
    <w:p w14:paraId="226287D1" w14:textId="77777777" w:rsidR="00073C52" w:rsidRPr="00073C52" w:rsidRDefault="00073C52" w:rsidP="00073C52">
      <w:pPr>
        <w:pStyle w:val="ListParagraph"/>
        <w:numPr>
          <w:ilvl w:val="0"/>
          <w:numId w:val="1"/>
        </w:numPr>
        <w:rPr>
          <w:b/>
          <w:bCs/>
        </w:rPr>
      </w:pPr>
      <w:r w:rsidRPr="00073C52">
        <w:rPr>
          <w:b/>
          <w:bCs/>
        </w:rPr>
        <w:t xml:space="preserve">How </w:t>
      </w:r>
      <w:proofErr w:type="spellStart"/>
      <w:r w:rsidRPr="00073C52">
        <w:rPr>
          <w:b/>
          <w:bCs/>
        </w:rPr>
        <w:t>SentinelOne</w:t>
      </w:r>
      <w:proofErr w:type="spellEnd"/>
      <w:r w:rsidRPr="00073C52">
        <w:rPr>
          <w:b/>
          <w:bCs/>
        </w:rPr>
        <w:t xml:space="preserve"> compares to other manufacturers</w:t>
      </w:r>
    </w:p>
    <w:p w14:paraId="4681CB91" w14:textId="77777777" w:rsidR="00073C52" w:rsidRDefault="00073C52" w:rsidP="00073C52"/>
    <w:p w14:paraId="4C018527" w14:textId="77777777" w:rsidR="00073C52" w:rsidRPr="00073C52" w:rsidRDefault="00073C52" w:rsidP="00073C52">
      <w:pPr>
        <w:rPr>
          <w:b/>
          <w:bCs/>
        </w:rPr>
      </w:pPr>
      <w:r w:rsidRPr="00073C52">
        <w:rPr>
          <w:b/>
          <w:bCs/>
        </w:rPr>
        <w:t>Thursday 10 June 2021, 11am-12noon (BST)</w:t>
      </w:r>
    </w:p>
    <w:p w14:paraId="3EB1B4E2" w14:textId="74A5CC71" w:rsidR="00073C52" w:rsidRDefault="00073C52" w:rsidP="00073C52">
      <w:pPr>
        <w:rPr>
          <w:b/>
          <w:bCs/>
        </w:rPr>
      </w:pPr>
      <w:r w:rsidRPr="00073C52">
        <w:rPr>
          <w:b/>
          <w:bCs/>
          <w:highlight w:val="yellow"/>
        </w:rPr>
        <w:t>Members Only</w:t>
      </w:r>
      <w:r>
        <w:rPr>
          <w:b/>
          <w:bCs/>
        </w:rPr>
        <w:t xml:space="preserve"> </w:t>
      </w:r>
    </w:p>
    <w:p w14:paraId="312D7851" w14:textId="715E034E" w:rsidR="00073C52" w:rsidRPr="00073C52" w:rsidRDefault="00073C52" w:rsidP="00073C52">
      <w:pPr>
        <w:rPr>
          <w:b/>
          <w:bCs/>
        </w:rPr>
      </w:pPr>
      <w:r w:rsidRPr="00073C52">
        <w:rPr>
          <w:b/>
          <w:bCs/>
        </w:rPr>
        <w:t xml:space="preserve">The Chief’s Brief with Simon Hodgkinson, Senior Development Director and Advisor, Reliance </w:t>
      </w:r>
      <w:proofErr w:type="spellStart"/>
      <w:r w:rsidRPr="00073C52">
        <w:rPr>
          <w:b/>
          <w:bCs/>
        </w:rPr>
        <w:t>acsn</w:t>
      </w:r>
      <w:proofErr w:type="spellEnd"/>
    </w:p>
    <w:p w14:paraId="1B256FAE" w14:textId="615C7121" w:rsidR="00073C52" w:rsidRPr="00073C52" w:rsidRDefault="00073C52" w:rsidP="00073C52">
      <w:pPr>
        <w:rPr>
          <w:b/>
          <w:bCs/>
        </w:rPr>
      </w:pPr>
      <w:r w:rsidRPr="00073C52">
        <w:rPr>
          <w:b/>
          <w:bCs/>
        </w:rPr>
        <w:t>https://www.thesasig.com/calendar/event/21-06-10-evening/</w:t>
      </w:r>
    </w:p>
    <w:p w14:paraId="6AF6A18E" w14:textId="314EBFEF" w:rsidR="00073C52" w:rsidRDefault="00073C52" w:rsidP="00073C52">
      <w:r>
        <w:t>Simon brings over 35 years of experience in the information technology and cybersecurity sectors. Most recently, he spent 18 years working for BP in a variety of global roles, including Group Chief Information Security Officer and VP of Global Infrastructure. Having been for so long an information security leader and practitioner in complex and challenging Information Technology and Operation Technology environments, he is rightly recognised by his peers as one of cybersecurity’s leading experts. We are privileged to hear more about his career, discuss his views of the international threat landscape, and learn about his personal journey to, and his work at, the highest echelons of global cybersecurity.</w:t>
      </w:r>
    </w:p>
    <w:p w14:paraId="14A7777D" w14:textId="731DD561" w:rsidR="00073C52" w:rsidRDefault="00073C52" w:rsidP="00073C52">
      <w:pPr>
        <w:rPr>
          <w:b/>
          <w:bCs/>
        </w:rPr>
      </w:pPr>
      <w:r w:rsidRPr="00073C52">
        <w:rPr>
          <w:b/>
          <w:bCs/>
        </w:rPr>
        <w:t>This meeting is restricted to SASIG members only and the Chatham House Rule will apply. Registration closes at 10.30am on Thursday 10th June 2021.</w:t>
      </w:r>
    </w:p>
    <w:p w14:paraId="5A8FD815" w14:textId="77777777" w:rsidR="00F03B75" w:rsidRPr="00073C52" w:rsidRDefault="00F03B75" w:rsidP="00073C52">
      <w:pPr>
        <w:rPr>
          <w:b/>
          <w:bCs/>
        </w:rPr>
      </w:pPr>
    </w:p>
    <w:p w14:paraId="694ABC11" w14:textId="77777777" w:rsidR="00F03B75" w:rsidRPr="00F03B75" w:rsidRDefault="00F03B75" w:rsidP="00073C52">
      <w:pPr>
        <w:rPr>
          <w:b/>
          <w:bCs/>
        </w:rPr>
      </w:pPr>
      <w:r w:rsidRPr="00F03B75">
        <w:rPr>
          <w:b/>
          <w:bCs/>
        </w:rPr>
        <w:t>Friday 11 June 2021, 11am-12noon (BST)</w:t>
      </w:r>
    </w:p>
    <w:p w14:paraId="11025D41" w14:textId="77777777" w:rsidR="00F03B75" w:rsidRDefault="00F03B75" w:rsidP="00F03B75">
      <w:pPr>
        <w:rPr>
          <w:b/>
          <w:bCs/>
        </w:rPr>
      </w:pPr>
      <w:r w:rsidRPr="00073C52">
        <w:rPr>
          <w:b/>
          <w:bCs/>
          <w:highlight w:val="yellow"/>
        </w:rPr>
        <w:t>Members Only</w:t>
      </w:r>
      <w:r>
        <w:rPr>
          <w:b/>
          <w:bCs/>
        </w:rPr>
        <w:t xml:space="preserve"> </w:t>
      </w:r>
    </w:p>
    <w:p w14:paraId="16CEE595" w14:textId="46DA7520" w:rsidR="00073C52" w:rsidRPr="00F03B75" w:rsidRDefault="00073C52" w:rsidP="00073C52">
      <w:pPr>
        <w:rPr>
          <w:b/>
          <w:bCs/>
        </w:rPr>
      </w:pPr>
      <w:r w:rsidRPr="00F03B75">
        <w:rPr>
          <w:b/>
          <w:bCs/>
        </w:rPr>
        <w:t>SASIG Academy Session 2 - Identifying the conscious/unconscious insider threat</w:t>
      </w:r>
    </w:p>
    <w:p w14:paraId="771446DB" w14:textId="22C049D3" w:rsidR="00073C52" w:rsidRDefault="00073C52" w:rsidP="00073C52">
      <w:pPr>
        <w:rPr>
          <w:b/>
          <w:bCs/>
        </w:rPr>
      </w:pPr>
      <w:r w:rsidRPr="00F03B75">
        <w:rPr>
          <w:b/>
          <w:bCs/>
        </w:rPr>
        <w:t>https://www.thesasig.com/calendar/event/21-06-11-welfare/</w:t>
      </w:r>
    </w:p>
    <w:p w14:paraId="45DCFADE" w14:textId="78E1C566" w:rsidR="00F03B75" w:rsidRPr="00F03B75" w:rsidRDefault="00F03B75" w:rsidP="00F03B75">
      <w:r w:rsidRPr="00F03B75">
        <w:lastRenderedPageBreak/>
        <w:t>Join the experts for a deep dive into insider threat risk as organisations action their plans to re-enter office environments in the next phase of post-pandemic life.</w:t>
      </w:r>
      <w:r>
        <w:t xml:space="preserve"> </w:t>
      </w:r>
      <w:r w:rsidRPr="00F03B75">
        <w:t>Does your security culture strategy factor in colleague wellbeing? If it didn’t before, it certainly should now.</w:t>
      </w:r>
    </w:p>
    <w:p w14:paraId="79DDDD08" w14:textId="00B222DC" w:rsidR="00073C52" w:rsidRDefault="00073C52" w:rsidP="00073C52"/>
    <w:p w14:paraId="74E1E5B0" w14:textId="014A8BEA" w:rsidR="00930B06" w:rsidRDefault="00930B06" w:rsidP="00930B06">
      <w:pPr>
        <w:spacing w:after="0" w:line="240" w:lineRule="auto"/>
        <w:rPr>
          <w:rFonts w:eastAsia="Times New Roman" w:cstheme="minorHAnsi"/>
          <w:b/>
          <w:bCs/>
          <w:color w:val="1D2D5C"/>
          <w:highlight w:val="lightGray"/>
          <w:shd w:val="clear" w:color="auto" w:fill="FFFFFF"/>
          <w:lang w:val="en-US"/>
        </w:rPr>
      </w:pPr>
      <w:r>
        <w:rPr>
          <w:rFonts w:eastAsia="Times New Roman" w:cstheme="minorHAnsi"/>
          <w:b/>
          <w:bCs/>
          <w:color w:val="1D2D5C"/>
          <w:highlight w:val="lightGray"/>
          <w:shd w:val="clear" w:color="auto" w:fill="FFFFFF"/>
          <w:lang w:val="en-US"/>
        </w:rPr>
        <w:t xml:space="preserve">From ISACA </w:t>
      </w:r>
    </w:p>
    <w:p w14:paraId="23E64D14" w14:textId="77777777" w:rsidR="00930B06" w:rsidRDefault="00930B06" w:rsidP="00930B06">
      <w:pPr>
        <w:spacing w:after="0" w:line="240" w:lineRule="auto"/>
        <w:rPr>
          <w:rFonts w:eastAsia="Times New Roman" w:cstheme="minorHAnsi"/>
          <w:b/>
          <w:bCs/>
          <w:color w:val="1D2D5C"/>
          <w:highlight w:val="lightGray"/>
          <w:shd w:val="clear" w:color="auto" w:fill="FFFFFF"/>
          <w:lang w:val="en-US"/>
        </w:rPr>
      </w:pPr>
    </w:p>
    <w:p w14:paraId="09E2216D" w14:textId="023CE320" w:rsidR="00930B06" w:rsidRPr="00930B06" w:rsidRDefault="00930B06" w:rsidP="00930B06">
      <w:pPr>
        <w:spacing w:after="0" w:line="240" w:lineRule="auto"/>
        <w:rPr>
          <w:rFonts w:eastAsia="Times New Roman" w:cstheme="minorHAnsi"/>
          <w:b/>
          <w:bCs/>
          <w:color w:val="1D2D5C"/>
          <w:highlight w:val="lightGray"/>
          <w:shd w:val="clear" w:color="auto" w:fill="FFFFFF"/>
          <w:lang w:val="en-US"/>
        </w:rPr>
      </w:pPr>
      <w:r w:rsidRPr="00930B06">
        <w:rPr>
          <w:rFonts w:eastAsia="Times New Roman" w:cstheme="minorHAnsi"/>
          <w:b/>
          <w:bCs/>
          <w:color w:val="1D2D5C"/>
          <w:highlight w:val="lightGray"/>
          <w:shd w:val="clear" w:color="auto" w:fill="FFFFFF"/>
          <w:lang w:val="en-US"/>
        </w:rPr>
        <w:t>NEW PUBLICATIONS</w:t>
      </w:r>
    </w:p>
    <w:p w14:paraId="432912F7" w14:textId="77777777" w:rsidR="00930B06" w:rsidRPr="00930B06" w:rsidRDefault="00930B06" w:rsidP="00930B06">
      <w:pPr>
        <w:numPr>
          <w:ilvl w:val="0"/>
          <w:numId w:val="3"/>
        </w:numPr>
        <w:spacing w:after="0" w:line="240" w:lineRule="auto"/>
        <w:ind w:left="360"/>
        <w:rPr>
          <w:rFonts w:eastAsia="Times New Roman" w:cstheme="minorHAnsi"/>
          <w:lang w:val="en-US"/>
        </w:rPr>
      </w:pPr>
      <w:hyperlink r:id="rId5" w:history="1">
        <w:r w:rsidRPr="00930B06">
          <w:rPr>
            <w:rFonts w:eastAsia="Times New Roman" w:cstheme="minorHAnsi"/>
            <w:color w:val="0000FF"/>
            <w:u w:val="single"/>
            <w:lang w:val="en-US"/>
          </w:rPr>
          <w:t>COBIT Focus Area: Information &amp; Technology Risk</w:t>
        </w:r>
      </w:hyperlink>
    </w:p>
    <w:p w14:paraId="682F251C" w14:textId="5D267BB6" w:rsidR="00930B06" w:rsidRDefault="00930B06" w:rsidP="00930B06">
      <w:pPr>
        <w:spacing w:after="0" w:line="240" w:lineRule="atLeast"/>
        <w:textAlignment w:val="baseline"/>
        <w:rPr>
          <w:rFonts w:eastAsia="Times New Roman" w:cstheme="minorHAnsi"/>
          <w:color w:val="1D252C"/>
          <w:lang w:val="en-US"/>
        </w:rPr>
      </w:pPr>
      <w:r w:rsidRPr="00930B06">
        <w:rPr>
          <w:rFonts w:eastAsia="Times New Roman" w:cstheme="minorHAnsi"/>
          <w:color w:val="1D252C"/>
          <w:lang w:val="en-US"/>
        </w:rPr>
        <w:t>•</w:t>
      </w:r>
      <w:r>
        <w:rPr>
          <w:rFonts w:eastAsia="Times New Roman" w:cstheme="minorHAnsi"/>
          <w:color w:val="1D252C"/>
          <w:lang w:val="en-US"/>
        </w:rPr>
        <w:t xml:space="preserve">     </w:t>
      </w:r>
      <w:r w:rsidRPr="00930B06">
        <w:rPr>
          <w:rFonts w:eastAsia="Times New Roman" w:cstheme="minorHAnsi"/>
          <w:color w:val="1D252C"/>
          <w:lang w:val="en-US"/>
        </w:rPr>
        <w:t>State of Cybersecurity 2021, Part 1: Global Update on Workforce Efforts, Resources and Budgets</w:t>
      </w:r>
    </w:p>
    <w:p w14:paraId="5C749A45" w14:textId="1626C3B8" w:rsidR="00930B06" w:rsidRPr="00930B06" w:rsidRDefault="00930B06" w:rsidP="00930B06">
      <w:pPr>
        <w:spacing w:after="0" w:line="240" w:lineRule="atLeast"/>
        <w:textAlignment w:val="baseline"/>
        <w:rPr>
          <w:rFonts w:eastAsia="Times New Roman" w:cstheme="minorHAnsi"/>
          <w:color w:val="1D252C"/>
          <w:lang w:val="en-US"/>
        </w:rPr>
      </w:pPr>
      <w:r w:rsidRPr="00930B06">
        <w:rPr>
          <w:rFonts w:eastAsia="Times New Roman" w:cstheme="minorHAnsi"/>
          <w:color w:val="1D252C"/>
          <w:lang w:val="en-US"/>
        </w:rPr>
        <w:t>https://www.isaca.org/go/state-of-cybersecurity-2021</w:t>
      </w:r>
    </w:p>
    <w:p w14:paraId="004F3019" w14:textId="77777777" w:rsidR="00930B06" w:rsidRPr="00930B06" w:rsidRDefault="00930B06" w:rsidP="00930B06">
      <w:pPr>
        <w:numPr>
          <w:ilvl w:val="0"/>
          <w:numId w:val="3"/>
        </w:numPr>
        <w:spacing w:after="0" w:line="240" w:lineRule="auto"/>
        <w:ind w:left="360"/>
        <w:rPr>
          <w:rFonts w:eastAsia="Times New Roman" w:cstheme="minorHAnsi"/>
          <w:lang w:val="en-US"/>
        </w:rPr>
      </w:pPr>
      <w:hyperlink r:id="rId6" w:history="1">
        <w:r w:rsidRPr="00930B06">
          <w:rPr>
            <w:rFonts w:eastAsia="Times New Roman" w:cstheme="minorHAnsi"/>
            <w:color w:val="0000FF"/>
            <w:u w:val="single"/>
            <w:lang w:val="en-US"/>
          </w:rPr>
          <w:t>Blockchain Risk: Considerations for Professionals</w:t>
        </w:r>
      </w:hyperlink>
    </w:p>
    <w:p w14:paraId="78F4D930" w14:textId="77777777" w:rsidR="00930B06" w:rsidRPr="00930B06" w:rsidRDefault="00930B06" w:rsidP="00930B06">
      <w:pPr>
        <w:numPr>
          <w:ilvl w:val="0"/>
          <w:numId w:val="3"/>
        </w:numPr>
        <w:spacing w:after="0" w:line="240" w:lineRule="auto"/>
        <w:ind w:left="360"/>
        <w:rPr>
          <w:rFonts w:eastAsia="Times New Roman" w:cstheme="minorHAnsi"/>
          <w:lang w:val="en-US"/>
        </w:rPr>
      </w:pPr>
      <w:hyperlink r:id="rId7" w:history="1">
        <w:r w:rsidRPr="00930B06">
          <w:rPr>
            <w:rFonts w:eastAsia="Times New Roman" w:cstheme="minorHAnsi"/>
            <w:color w:val="0000FF"/>
            <w:u w:val="single"/>
            <w:lang w:val="en-US"/>
          </w:rPr>
          <w:t>IT Business Continuity/Disaster Recovery Audit Program</w:t>
        </w:r>
      </w:hyperlink>
    </w:p>
    <w:p w14:paraId="643D09C9" w14:textId="77777777" w:rsidR="00930B06" w:rsidRPr="00930B06" w:rsidRDefault="00930B06" w:rsidP="00930B06">
      <w:pPr>
        <w:spacing w:after="0" w:line="240" w:lineRule="auto"/>
        <w:rPr>
          <w:rFonts w:cstheme="minorHAnsi"/>
          <w:b/>
          <w:bCs/>
          <w:lang w:val="en-US"/>
        </w:rPr>
      </w:pPr>
    </w:p>
    <w:p w14:paraId="14AD5C48" w14:textId="77777777" w:rsidR="00930B06" w:rsidRPr="00930B06" w:rsidRDefault="00930B06" w:rsidP="00930B06">
      <w:pPr>
        <w:spacing w:after="0" w:line="240" w:lineRule="auto"/>
        <w:rPr>
          <w:rFonts w:eastAsia="Times New Roman" w:cstheme="minorHAnsi"/>
          <w:b/>
          <w:bCs/>
          <w:color w:val="1D2D5C"/>
          <w:shd w:val="clear" w:color="auto" w:fill="FFFFFF"/>
          <w:lang w:val="en-US"/>
        </w:rPr>
      </w:pPr>
      <w:r w:rsidRPr="00930B06">
        <w:rPr>
          <w:rFonts w:eastAsia="Times New Roman" w:cstheme="minorHAnsi"/>
          <w:b/>
          <w:bCs/>
          <w:color w:val="1D2D5C"/>
          <w:highlight w:val="lightGray"/>
          <w:shd w:val="clear" w:color="auto" w:fill="FFFFFF"/>
          <w:lang w:val="en-US"/>
        </w:rPr>
        <w:t>PODCASTS</w:t>
      </w:r>
    </w:p>
    <w:p w14:paraId="59B9FE16" w14:textId="77777777" w:rsidR="00930B06" w:rsidRPr="00930B06" w:rsidRDefault="00930B06" w:rsidP="00930B06">
      <w:pPr>
        <w:numPr>
          <w:ilvl w:val="0"/>
          <w:numId w:val="4"/>
        </w:numPr>
        <w:spacing w:after="0" w:line="240" w:lineRule="auto"/>
        <w:ind w:left="360"/>
        <w:rPr>
          <w:rFonts w:eastAsia="Times New Roman" w:cstheme="minorHAnsi"/>
          <w:lang w:val="en-US"/>
        </w:rPr>
      </w:pPr>
      <w:hyperlink r:id="rId8" w:history="1">
        <w:r w:rsidRPr="00930B06">
          <w:rPr>
            <w:rFonts w:eastAsia="Times New Roman" w:cstheme="minorHAnsi"/>
            <w:color w:val="0000FF"/>
            <w:u w:val="single"/>
            <w:lang w:val="en-US"/>
          </w:rPr>
          <w:t>Supply Chain Security Considerations</w:t>
        </w:r>
      </w:hyperlink>
      <w:r w:rsidRPr="00930B06">
        <w:rPr>
          <w:rFonts w:eastAsia="Times New Roman" w:cstheme="minorHAnsi"/>
          <w:lang w:val="en-US"/>
        </w:rPr>
        <w:t xml:space="preserve"> </w:t>
      </w:r>
    </w:p>
    <w:p w14:paraId="10F83E3F" w14:textId="77777777" w:rsidR="00930B06" w:rsidRPr="00930B06" w:rsidRDefault="00930B06" w:rsidP="00930B06">
      <w:pPr>
        <w:numPr>
          <w:ilvl w:val="0"/>
          <w:numId w:val="4"/>
        </w:numPr>
        <w:spacing w:after="0" w:line="240" w:lineRule="auto"/>
        <w:ind w:left="360"/>
        <w:rPr>
          <w:rFonts w:eastAsia="Times New Roman" w:cstheme="minorHAnsi"/>
          <w:lang w:val="en-US"/>
        </w:rPr>
      </w:pPr>
      <w:r w:rsidRPr="00930B06">
        <w:rPr>
          <w:rFonts w:ascii="Calibri" w:hAnsi="Calibri" w:cs="Calibri"/>
          <w:lang w:val="en-US"/>
        </w:rPr>
        <w:t>The Relationship Between Privacy and Research</w:t>
      </w:r>
    </w:p>
    <w:p w14:paraId="1D3E8339" w14:textId="6602B575" w:rsidR="00930B06" w:rsidRPr="00930B06" w:rsidRDefault="00930B06" w:rsidP="00930B06">
      <w:pPr>
        <w:spacing w:after="0" w:line="240" w:lineRule="auto"/>
        <w:ind w:left="360"/>
        <w:rPr>
          <w:rFonts w:eastAsia="Times New Roman" w:cstheme="minorHAnsi"/>
          <w:lang w:val="en-US"/>
        </w:rPr>
      </w:pPr>
      <w:r w:rsidRPr="00930B06">
        <w:rPr>
          <w:rFonts w:eastAsia="Times New Roman" w:cstheme="minorHAnsi"/>
          <w:lang w:val="en-US"/>
        </w:rPr>
        <w:t>https://www.isaca.org/resources/news-and-trends/isaca-podcast-library/the-relationship-between-privacy-and-research</w:t>
      </w:r>
    </w:p>
    <w:p w14:paraId="4CF010B6" w14:textId="30BDF833" w:rsidR="00930B06" w:rsidRDefault="00930B06" w:rsidP="00073C52"/>
    <w:p w14:paraId="02E798EB" w14:textId="77777777" w:rsidR="00930B06" w:rsidRDefault="00930B06" w:rsidP="00073C52"/>
    <w:sectPr w:rsidR="00930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031"/>
    <w:multiLevelType w:val="hybridMultilevel"/>
    <w:tmpl w:val="013E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A2238"/>
    <w:multiLevelType w:val="hybridMultilevel"/>
    <w:tmpl w:val="80C2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B01210"/>
    <w:multiLevelType w:val="hybridMultilevel"/>
    <w:tmpl w:val="BF8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1F458B"/>
    <w:multiLevelType w:val="hybridMultilevel"/>
    <w:tmpl w:val="5976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52"/>
    <w:rsid w:val="00073C52"/>
    <w:rsid w:val="002851A2"/>
    <w:rsid w:val="00381153"/>
    <w:rsid w:val="005834FF"/>
    <w:rsid w:val="007615F8"/>
    <w:rsid w:val="00930B06"/>
    <w:rsid w:val="00D020EB"/>
    <w:rsid w:val="00F0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A4C8"/>
  <w15:chartTrackingRefBased/>
  <w15:docId w15:val="{C538FE3A-4B56-415F-A15F-A8303A4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7238">
      <w:bodyDiv w:val="1"/>
      <w:marLeft w:val="0"/>
      <w:marRight w:val="0"/>
      <w:marTop w:val="0"/>
      <w:marBottom w:val="0"/>
      <w:divBdr>
        <w:top w:val="none" w:sz="0" w:space="0" w:color="auto"/>
        <w:left w:val="none" w:sz="0" w:space="0" w:color="auto"/>
        <w:bottom w:val="none" w:sz="0" w:space="0" w:color="auto"/>
        <w:right w:val="none" w:sz="0" w:space="0" w:color="auto"/>
      </w:divBdr>
      <w:divsChild>
        <w:div w:id="1724257011">
          <w:marLeft w:val="0"/>
          <w:marRight w:val="0"/>
          <w:marTop w:val="0"/>
          <w:marBottom w:val="0"/>
          <w:divBdr>
            <w:top w:val="none" w:sz="0" w:space="0" w:color="auto"/>
            <w:left w:val="none" w:sz="0" w:space="0" w:color="auto"/>
            <w:bottom w:val="none" w:sz="0" w:space="0" w:color="auto"/>
            <w:right w:val="none" w:sz="0" w:space="0" w:color="auto"/>
          </w:divBdr>
        </w:div>
        <w:div w:id="2047557228">
          <w:marLeft w:val="0"/>
          <w:marRight w:val="0"/>
          <w:marTop w:val="0"/>
          <w:marBottom w:val="0"/>
          <w:divBdr>
            <w:top w:val="none" w:sz="0" w:space="0" w:color="auto"/>
            <w:left w:val="none" w:sz="0" w:space="0" w:color="auto"/>
            <w:bottom w:val="none" w:sz="0" w:space="0" w:color="auto"/>
            <w:right w:val="none" w:sz="0" w:space="0" w:color="auto"/>
          </w:divBdr>
        </w:div>
        <w:div w:id="1337221582">
          <w:marLeft w:val="0"/>
          <w:marRight w:val="0"/>
          <w:marTop w:val="0"/>
          <w:marBottom w:val="0"/>
          <w:divBdr>
            <w:top w:val="none" w:sz="0" w:space="0" w:color="auto"/>
            <w:left w:val="none" w:sz="0" w:space="0" w:color="auto"/>
            <w:bottom w:val="none" w:sz="0" w:space="0" w:color="auto"/>
            <w:right w:val="none" w:sz="0" w:space="0" w:color="auto"/>
          </w:divBdr>
        </w:div>
        <w:div w:id="1306936221">
          <w:marLeft w:val="0"/>
          <w:marRight w:val="0"/>
          <w:marTop w:val="0"/>
          <w:marBottom w:val="0"/>
          <w:divBdr>
            <w:top w:val="none" w:sz="0" w:space="0" w:color="auto"/>
            <w:left w:val="none" w:sz="0" w:space="0" w:color="auto"/>
            <w:bottom w:val="none" w:sz="0" w:space="0" w:color="auto"/>
            <w:right w:val="none" w:sz="0" w:space="0" w:color="auto"/>
          </w:divBdr>
        </w:div>
        <w:div w:id="2034381740">
          <w:marLeft w:val="0"/>
          <w:marRight w:val="0"/>
          <w:marTop w:val="0"/>
          <w:marBottom w:val="0"/>
          <w:divBdr>
            <w:top w:val="none" w:sz="0" w:space="0" w:color="auto"/>
            <w:left w:val="none" w:sz="0" w:space="0" w:color="auto"/>
            <w:bottom w:val="none" w:sz="0" w:space="0" w:color="auto"/>
            <w:right w:val="none" w:sz="0" w:space="0" w:color="auto"/>
          </w:divBdr>
        </w:div>
        <w:div w:id="1950431454">
          <w:marLeft w:val="0"/>
          <w:marRight w:val="0"/>
          <w:marTop w:val="0"/>
          <w:marBottom w:val="0"/>
          <w:divBdr>
            <w:top w:val="none" w:sz="0" w:space="0" w:color="auto"/>
            <w:left w:val="none" w:sz="0" w:space="0" w:color="auto"/>
            <w:bottom w:val="none" w:sz="0" w:space="0" w:color="auto"/>
            <w:right w:val="none" w:sz="0" w:space="0" w:color="auto"/>
          </w:divBdr>
        </w:div>
        <w:div w:id="881870529">
          <w:marLeft w:val="0"/>
          <w:marRight w:val="0"/>
          <w:marTop w:val="0"/>
          <w:marBottom w:val="0"/>
          <w:divBdr>
            <w:top w:val="none" w:sz="0" w:space="0" w:color="auto"/>
            <w:left w:val="none" w:sz="0" w:space="0" w:color="auto"/>
            <w:bottom w:val="none" w:sz="0" w:space="0" w:color="auto"/>
            <w:right w:val="none" w:sz="0" w:space="0" w:color="auto"/>
          </w:divBdr>
        </w:div>
        <w:div w:id="1820875827">
          <w:marLeft w:val="0"/>
          <w:marRight w:val="0"/>
          <w:marTop w:val="0"/>
          <w:marBottom w:val="0"/>
          <w:divBdr>
            <w:top w:val="none" w:sz="0" w:space="0" w:color="auto"/>
            <w:left w:val="none" w:sz="0" w:space="0" w:color="auto"/>
            <w:bottom w:val="none" w:sz="0" w:space="0" w:color="auto"/>
            <w:right w:val="none" w:sz="0" w:space="0" w:color="auto"/>
          </w:divBdr>
        </w:div>
        <w:div w:id="1184368271">
          <w:marLeft w:val="0"/>
          <w:marRight w:val="0"/>
          <w:marTop w:val="0"/>
          <w:marBottom w:val="0"/>
          <w:divBdr>
            <w:top w:val="none" w:sz="0" w:space="0" w:color="auto"/>
            <w:left w:val="none" w:sz="0" w:space="0" w:color="auto"/>
            <w:bottom w:val="none" w:sz="0" w:space="0" w:color="auto"/>
            <w:right w:val="none" w:sz="0" w:space="0" w:color="auto"/>
          </w:divBdr>
        </w:div>
        <w:div w:id="399405562">
          <w:marLeft w:val="0"/>
          <w:marRight w:val="0"/>
          <w:marTop w:val="0"/>
          <w:marBottom w:val="0"/>
          <w:divBdr>
            <w:top w:val="none" w:sz="0" w:space="0" w:color="auto"/>
            <w:left w:val="none" w:sz="0" w:space="0" w:color="auto"/>
            <w:bottom w:val="none" w:sz="0" w:space="0" w:color="auto"/>
            <w:right w:val="none" w:sz="0" w:space="0" w:color="auto"/>
          </w:divBdr>
        </w:div>
      </w:divsChild>
    </w:div>
    <w:div w:id="1048916756">
      <w:bodyDiv w:val="1"/>
      <w:marLeft w:val="0"/>
      <w:marRight w:val="0"/>
      <w:marTop w:val="0"/>
      <w:marBottom w:val="0"/>
      <w:divBdr>
        <w:top w:val="none" w:sz="0" w:space="0" w:color="auto"/>
        <w:left w:val="none" w:sz="0" w:space="0" w:color="auto"/>
        <w:bottom w:val="none" w:sz="0" w:space="0" w:color="auto"/>
        <w:right w:val="none" w:sz="0" w:space="0" w:color="auto"/>
      </w:divBdr>
    </w:div>
    <w:div w:id="20118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ca.org/resources/news-and-trends/isaca-podcast-library/supply-chain-security-considerations" TargetMode="External"/><Relationship Id="rId3" Type="http://schemas.openxmlformats.org/officeDocument/2006/relationships/settings" Target="settings.xml"/><Relationship Id="rId7" Type="http://schemas.openxmlformats.org/officeDocument/2006/relationships/hyperlink" Target="https://www.isaca.org/bookstore/audit-control-and-security-essentials/wait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aca.org/bookstore/bookstore-wht_papers-digital/whpbrc" TargetMode="External"/><Relationship Id="rId5" Type="http://schemas.openxmlformats.org/officeDocument/2006/relationships/hyperlink" Target="https://www.isaca.org/bookstore/bookstore-cobit_19-print/cb19irf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4</cp:revision>
  <dcterms:created xsi:type="dcterms:W3CDTF">2021-06-04T15:40:00Z</dcterms:created>
  <dcterms:modified xsi:type="dcterms:W3CDTF">2021-06-04T20:53:00Z</dcterms:modified>
</cp:coreProperties>
</file>