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287F" w14:textId="77777777" w:rsidR="00D5198C" w:rsidRDefault="00D5198C">
      <w:pPr>
        <w:pStyle w:val="Standard"/>
        <w:rPr>
          <w:rFonts w:ascii="Arial" w:hAnsi="Arial" w:cs="Arial"/>
          <w:sz w:val="22"/>
          <w:szCs w:val="22"/>
        </w:rPr>
      </w:pPr>
    </w:p>
    <w:p w14:paraId="48823274" w14:textId="77777777" w:rsidR="00D5198C" w:rsidRDefault="00BA79C3">
      <w:pPr>
        <w:pStyle w:val="Standard"/>
        <w:rPr>
          <w:rFonts w:hint="eastAsia"/>
        </w:rPr>
      </w:pPr>
      <w:r>
        <w:rPr>
          <w:rFonts w:ascii="Arial" w:hAnsi="Arial" w:cs="Arial"/>
          <w:b/>
          <w:bCs/>
          <w:color w:val="ED7D31"/>
          <w:sz w:val="22"/>
          <w:szCs w:val="22"/>
          <w:shd w:val="clear" w:color="auto" w:fill="FFFF00"/>
        </w:rPr>
        <w:t>Nov26 - ISACA Scotland Weekly Email</w:t>
      </w:r>
    </w:p>
    <w:p w14:paraId="45D66D53" w14:textId="77777777" w:rsidR="00D5198C" w:rsidRDefault="00BA79C3">
      <w:pPr>
        <w:pStyle w:val="Standard"/>
        <w:rPr>
          <w:rFonts w:hint="eastAsia"/>
        </w:rPr>
      </w:pPr>
      <w:r>
        <w:rPr>
          <w:rFonts w:ascii="Arial" w:hAnsi="Arial" w:cs="Arial"/>
          <w:color w:val="241C15"/>
          <w:sz w:val="22"/>
          <w:szCs w:val="22"/>
        </w:rPr>
        <w:t xml:space="preserve">News and events from </w:t>
      </w:r>
      <w:proofErr w:type="gramStart"/>
      <w:r>
        <w:rPr>
          <w:rFonts w:ascii="Arial" w:hAnsi="Arial" w:cs="Arial"/>
          <w:color w:val="241C15"/>
          <w:sz w:val="22"/>
          <w:szCs w:val="22"/>
        </w:rPr>
        <w:t>ISACA ,SASIG</w:t>
      </w:r>
      <w:proofErr w:type="gramEnd"/>
      <w:r>
        <w:rPr>
          <w:rFonts w:ascii="Arial" w:hAnsi="Arial" w:cs="Arial"/>
          <w:color w:val="241C15"/>
          <w:sz w:val="22"/>
          <w:szCs w:val="22"/>
        </w:rPr>
        <w:t xml:space="preserve"> events and more</w:t>
      </w:r>
    </w:p>
    <w:p w14:paraId="4E2CD32E" w14:textId="77777777" w:rsidR="00D5198C" w:rsidRDefault="00D5198C">
      <w:pPr>
        <w:pStyle w:val="Standard"/>
        <w:rPr>
          <w:rFonts w:ascii="Arial" w:hAnsi="Arial" w:cs="Arial"/>
          <w:sz w:val="22"/>
          <w:szCs w:val="22"/>
        </w:rPr>
      </w:pPr>
    </w:p>
    <w:p w14:paraId="28AE773C" w14:textId="77777777" w:rsidR="00D5198C" w:rsidRDefault="00BA79C3">
      <w:pPr>
        <w:pStyle w:val="Standard"/>
        <w:rPr>
          <w:rFonts w:ascii="Arial" w:hAnsi="Arial" w:cs="Arial"/>
          <w:b/>
          <w:bCs/>
          <w:color w:val="ED7D31"/>
          <w:sz w:val="22"/>
          <w:szCs w:val="22"/>
        </w:rPr>
      </w:pPr>
      <w:r>
        <w:rPr>
          <w:rFonts w:ascii="Arial" w:hAnsi="Arial" w:cs="Arial"/>
          <w:b/>
          <w:bCs/>
          <w:color w:val="ED7D31"/>
          <w:sz w:val="22"/>
          <w:szCs w:val="22"/>
        </w:rPr>
        <w:t xml:space="preserve">SASIG Daily Webinars 29 </w:t>
      </w:r>
      <w:proofErr w:type="gramStart"/>
      <w:r>
        <w:rPr>
          <w:rFonts w:ascii="Arial" w:hAnsi="Arial" w:cs="Arial"/>
          <w:b/>
          <w:bCs/>
          <w:color w:val="ED7D31"/>
          <w:sz w:val="22"/>
          <w:szCs w:val="22"/>
        </w:rPr>
        <w:t>Nov  3</w:t>
      </w:r>
      <w:proofErr w:type="gramEnd"/>
      <w:r>
        <w:rPr>
          <w:rFonts w:ascii="Arial" w:hAnsi="Arial" w:cs="Arial"/>
          <w:b/>
          <w:bCs/>
          <w:color w:val="ED7D31"/>
          <w:sz w:val="22"/>
          <w:szCs w:val="22"/>
        </w:rPr>
        <w:t xml:space="preserve"> Dec</w:t>
      </w:r>
    </w:p>
    <w:p w14:paraId="48210560" w14:textId="77777777" w:rsidR="00D5198C" w:rsidRDefault="00D5198C">
      <w:pPr>
        <w:pStyle w:val="Standard"/>
        <w:rPr>
          <w:rFonts w:ascii="Arial" w:hAnsi="Arial" w:cs="Arial"/>
          <w:sz w:val="22"/>
          <w:szCs w:val="22"/>
        </w:rPr>
      </w:pPr>
    </w:p>
    <w:p w14:paraId="35D7FFC7" w14:textId="77777777" w:rsidR="00D5198C" w:rsidRDefault="00BA79C3">
      <w:pPr>
        <w:pStyle w:val="Heading4"/>
        <w:spacing w:line="300" w:lineRule="auto"/>
        <w:rPr>
          <w:rFonts w:hint="eastAsia"/>
        </w:rPr>
      </w:pPr>
      <w:r>
        <w:rPr>
          <w:rStyle w:val="StrongEmphasis"/>
          <w:rFonts w:ascii="Arial" w:hAnsi="Arial" w:cs="Arial"/>
          <w:color w:val="4472C4"/>
          <w:sz w:val="22"/>
          <w:szCs w:val="22"/>
        </w:rPr>
        <w:t>Monday 29 November 2021, 11am-12noon (GMT)</w:t>
      </w:r>
    </w:p>
    <w:p w14:paraId="3A7C4F35" w14:textId="77777777" w:rsidR="00D5198C" w:rsidRDefault="00BA79C3">
      <w:pPr>
        <w:pStyle w:val="Textbody"/>
        <w:spacing w:line="300" w:lineRule="auto"/>
        <w:rPr>
          <w:rFonts w:hint="eastAsia"/>
        </w:rPr>
      </w:pPr>
      <w:r>
        <w:rPr>
          <w:rStyle w:val="StrongEmphasis"/>
          <w:rFonts w:ascii="Arial" w:hAnsi="Arial" w:cs="Arial"/>
          <w:color w:val="202020"/>
          <w:sz w:val="22"/>
          <w:szCs w:val="22"/>
        </w:rPr>
        <w:t>Implications of Lloyd v. Google for data breach class actions</w:t>
      </w:r>
    </w:p>
    <w:p w14:paraId="4DF77CE5" w14:textId="77777777" w:rsidR="00D5198C" w:rsidRDefault="00BA79C3">
      <w:pPr>
        <w:pStyle w:val="Textbody"/>
        <w:spacing w:line="300" w:lineRule="auto"/>
        <w:rPr>
          <w:rFonts w:hint="eastAsia"/>
        </w:rPr>
      </w:pPr>
      <w:hyperlink r:id="rId6" w:history="1">
        <w:r>
          <w:rPr>
            <w:rStyle w:val="StrongEmphasis"/>
            <w:rFonts w:ascii="Arial" w:hAnsi="Arial" w:cs="Arial"/>
            <w:color w:val="202020"/>
            <w:sz w:val="22"/>
            <w:szCs w:val="22"/>
          </w:rPr>
          <w:t>https://www.thesa</w:t>
        </w:r>
        <w:bookmarkStart w:id="0" w:name="_Hlt88997886"/>
        <w:bookmarkStart w:id="1" w:name="_Hlt88997887"/>
        <w:r>
          <w:rPr>
            <w:rStyle w:val="StrongEmphasis"/>
            <w:rFonts w:ascii="Arial" w:hAnsi="Arial" w:cs="Arial"/>
            <w:color w:val="202020"/>
            <w:sz w:val="22"/>
            <w:szCs w:val="22"/>
          </w:rPr>
          <w:t>s</w:t>
        </w:r>
        <w:bookmarkEnd w:id="0"/>
        <w:bookmarkEnd w:id="1"/>
        <w:r>
          <w:rPr>
            <w:rStyle w:val="StrongEmphasis"/>
            <w:rFonts w:ascii="Arial" w:hAnsi="Arial" w:cs="Arial"/>
            <w:color w:val="202020"/>
            <w:sz w:val="22"/>
            <w:szCs w:val="22"/>
          </w:rPr>
          <w:t>ig.com/calendar/event/21-11-29-legal/</w:t>
        </w:r>
      </w:hyperlink>
    </w:p>
    <w:p w14:paraId="2A7F3276" w14:textId="77777777" w:rsidR="00D5198C" w:rsidRDefault="00BA79C3">
      <w:pPr>
        <w:pStyle w:val="Textbody"/>
        <w:spacing w:line="300" w:lineRule="auto"/>
        <w:rPr>
          <w:rFonts w:hint="eastAsia"/>
        </w:rPr>
      </w:pPr>
      <w:r>
        <w:rPr>
          <w:rStyle w:val="StrongEmphasis"/>
          <w:rFonts w:ascii="Arial" w:hAnsi="Arial" w:cs="Arial"/>
          <w:color w:val="202020"/>
          <w:sz w:val="22"/>
          <w:szCs w:val="22"/>
        </w:rPr>
        <w:t>We will explain the differences between Representative Actions and Group Litigation Orders and the options that remain open for t</w:t>
      </w:r>
      <w:r>
        <w:rPr>
          <w:rStyle w:val="StrongEmphasis"/>
          <w:rFonts w:ascii="Arial" w:hAnsi="Arial" w:cs="Arial"/>
          <w:color w:val="202020"/>
          <w:sz w:val="22"/>
          <w:szCs w:val="22"/>
        </w:rPr>
        <w:t>he claims management industry and privacy activities. We will also look at why cybersecurity professionals should remain readied for strong legal consequences after operational failure events.</w:t>
      </w:r>
    </w:p>
    <w:p w14:paraId="6CBFA777" w14:textId="77777777" w:rsidR="00D5198C" w:rsidRDefault="00BA79C3">
      <w:pPr>
        <w:pStyle w:val="Textbody"/>
        <w:spacing w:line="300" w:lineRule="auto"/>
        <w:rPr>
          <w:rFonts w:hint="eastAsia"/>
        </w:rPr>
      </w:pPr>
      <w:r>
        <w:rPr>
          <w:rStyle w:val="StrongEmphasis"/>
          <w:rFonts w:ascii="Arial" w:hAnsi="Arial" w:cs="Arial"/>
          <w:color w:val="4472C4"/>
          <w:sz w:val="22"/>
          <w:szCs w:val="22"/>
        </w:rPr>
        <w:t xml:space="preserve">Tuesday 30 November </w:t>
      </w:r>
      <w:proofErr w:type="gramStart"/>
      <w:r>
        <w:rPr>
          <w:rStyle w:val="StrongEmphasis"/>
          <w:rFonts w:ascii="Arial" w:hAnsi="Arial" w:cs="Arial"/>
          <w:color w:val="4472C4"/>
          <w:sz w:val="22"/>
          <w:szCs w:val="22"/>
        </w:rPr>
        <w:t>2021  9</w:t>
      </w:r>
      <w:proofErr w:type="gramEnd"/>
      <w:r>
        <w:rPr>
          <w:rStyle w:val="StrongEmphasis"/>
          <w:rFonts w:ascii="Arial" w:hAnsi="Arial" w:cs="Arial"/>
          <w:color w:val="4472C4"/>
          <w:sz w:val="22"/>
          <w:szCs w:val="22"/>
        </w:rPr>
        <w:t>.45am – 12noon and 1pm – 3.15pm (GMT</w:t>
      </w:r>
      <w:r>
        <w:rPr>
          <w:rStyle w:val="StrongEmphasis"/>
          <w:rFonts w:ascii="Arial" w:hAnsi="Arial" w:cs="Arial"/>
          <w:color w:val="4472C4"/>
          <w:sz w:val="22"/>
          <w:szCs w:val="22"/>
        </w:rPr>
        <w:t>)</w:t>
      </w:r>
    </w:p>
    <w:p w14:paraId="0F886ED4" w14:textId="77777777" w:rsidR="00D5198C" w:rsidRDefault="00BA79C3">
      <w:pPr>
        <w:pStyle w:val="Textbody"/>
        <w:spacing w:line="300" w:lineRule="auto"/>
        <w:rPr>
          <w:rFonts w:hint="eastAsia"/>
        </w:rPr>
      </w:pPr>
      <w:r>
        <w:rPr>
          <w:rStyle w:val="StrongEmphasis"/>
          <w:rFonts w:ascii="Arial" w:hAnsi="Arial" w:cs="Arial"/>
          <w:color w:val="202020"/>
          <w:sz w:val="22"/>
          <w:szCs w:val="22"/>
        </w:rPr>
        <w:t>Cyber Escape Room</w:t>
      </w:r>
    </w:p>
    <w:p w14:paraId="00107264" w14:textId="77777777" w:rsidR="00D5198C" w:rsidRDefault="00BA79C3">
      <w:pPr>
        <w:pStyle w:val="Textbody"/>
        <w:spacing w:line="300" w:lineRule="auto"/>
        <w:rPr>
          <w:rFonts w:hint="eastAsia"/>
        </w:rPr>
      </w:pPr>
      <w:hyperlink r:id="rId7" w:history="1">
        <w:r>
          <w:rPr>
            <w:rStyle w:val="StrongEmphasis"/>
            <w:rFonts w:ascii="Arial" w:hAnsi="Arial" w:cs="Arial"/>
            <w:color w:val="202020"/>
            <w:sz w:val="22"/>
            <w:szCs w:val="22"/>
          </w:rPr>
          <w:t>https://www.thesasig.com/calendar/event/21-11-30-tabletop/</w:t>
        </w:r>
      </w:hyperlink>
    </w:p>
    <w:p w14:paraId="120122B9" w14:textId="77777777" w:rsidR="00D5198C" w:rsidRDefault="00BA79C3">
      <w:pPr>
        <w:pStyle w:val="Textbody"/>
        <w:spacing w:line="300" w:lineRule="auto"/>
        <w:rPr>
          <w:rFonts w:hint="eastAsia"/>
        </w:rPr>
      </w:pPr>
      <w:r>
        <w:rPr>
          <w:rStyle w:val="StrongEmphasis"/>
          <w:rFonts w:ascii="Arial" w:hAnsi="Arial" w:cs="Arial"/>
          <w:color w:val="202020"/>
          <w:sz w:val="22"/>
          <w:szCs w:val="22"/>
        </w:rPr>
        <w:t xml:space="preserve">A few spaces have become available for the morning session – please email SASIG at </w:t>
      </w:r>
      <w:r>
        <w:rPr>
          <w:rStyle w:val="StrongEmphasis"/>
          <w:rFonts w:ascii="Arial" w:hAnsi="Arial" w:cs="Arial"/>
          <w:color w:val="202020"/>
          <w:sz w:val="22"/>
          <w:szCs w:val="22"/>
        </w:rPr>
        <w:t>info@thesasig.com if you would like to attend. We are at maximum capacity for the afternoon session. Please note that website membership is required to attend this event.</w:t>
      </w:r>
    </w:p>
    <w:p w14:paraId="509DD61E" w14:textId="77777777" w:rsidR="00D5198C" w:rsidRDefault="00BA79C3">
      <w:pPr>
        <w:pStyle w:val="Textbody"/>
        <w:spacing w:line="300" w:lineRule="auto"/>
        <w:rPr>
          <w:rFonts w:hint="eastAsia"/>
        </w:rPr>
      </w:pPr>
      <w:r>
        <w:rPr>
          <w:rStyle w:val="StrongEmphasis"/>
          <w:rFonts w:ascii="Arial" w:hAnsi="Arial" w:cs="Arial"/>
          <w:color w:val="4472C4"/>
          <w:sz w:val="22"/>
          <w:szCs w:val="22"/>
        </w:rPr>
        <w:t>Wednesday 1 December 2021, 11am-12noon (GMT)</w:t>
      </w:r>
    </w:p>
    <w:p w14:paraId="522C2C43" w14:textId="77777777" w:rsidR="00D5198C" w:rsidRDefault="00BA79C3">
      <w:pPr>
        <w:pStyle w:val="Textbody"/>
        <w:spacing w:line="300" w:lineRule="auto"/>
        <w:rPr>
          <w:rFonts w:hint="eastAsia"/>
        </w:rPr>
      </w:pPr>
      <w:r>
        <w:rPr>
          <w:rStyle w:val="StrongEmphasis"/>
          <w:rFonts w:ascii="Arial" w:hAnsi="Arial" w:cs="Arial"/>
          <w:color w:val="202020"/>
          <w:sz w:val="22"/>
          <w:szCs w:val="22"/>
        </w:rPr>
        <w:t>Changing the narrative: Making people yo</w:t>
      </w:r>
      <w:r>
        <w:rPr>
          <w:rStyle w:val="StrongEmphasis"/>
          <w:rFonts w:ascii="Arial" w:hAnsi="Arial" w:cs="Arial"/>
          <w:color w:val="202020"/>
          <w:sz w:val="22"/>
          <w:szCs w:val="22"/>
        </w:rPr>
        <w:t>ur greatest asset, not your weakest link</w:t>
      </w:r>
    </w:p>
    <w:p w14:paraId="03AAD52B" w14:textId="77777777" w:rsidR="00D5198C" w:rsidRDefault="00BA79C3">
      <w:pPr>
        <w:pStyle w:val="Textbody"/>
        <w:spacing w:line="300" w:lineRule="auto"/>
        <w:rPr>
          <w:rFonts w:hint="eastAsia"/>
        </w:rPr>
      </w:pPr>
      <w:hyperlink r:id="rId8" w:history="1">
        <w:r>
          <w:rPr>
            <w:rStyle w:val="StrongEmphasis"/>
            <w:rFonts w:ascii="Arial" w:hAnsi="Arial" w:cs="Arial"/>
            <w:color w:val="202020"/>
            <w:sz w:val="22"/>
            <w:szCs w:val="22"/>
          </w:rPr>
          <w:t>https://www.thesasig.com/calendar/event/21-12-01-awareness/</w:t>
        </w:r>
      </w:hyperlink>
    </w:p>
    <w:p w14:paraId="4BC08965" w14:textId="77777777" w:rsidR="00D5198C" w:rsidRDefault="00BA79C3">
      <w:pPr>
        <w:pStyle w:val="Textbody"/>
        <w:spacing w:line="300" w:lineRule="auto"/>
        <w:rPr>
          <w:rFonts w:hint="eastAsia"/>
        </w:rPr>
      </w:pPr>
      <w:r>
        <w:rPr>
          <w:rStyle w:val="StrongEmphasis"/>
          <w:rFonts w:ascii="Arial" w:hAnsi="Arial" w:cs="Arial"/>
          <w:color w:val="202020"/>
          <w:sz w:val="22"/>
          <w:szCs w:val="22"/>
        </w:rPr>
        <w:t xml:space="preserve">Join us for a brief history of human error, the development of the Human </w:t>
      </w:r>
      <w:r>
        <w:rPr>
          <w:rStyle w:val="StrongEmphasis"/>
          <w:rFonts w:ascii="Arial" w:hAnsi="Arial" w:cs="Arial"/>
          <w:color w:val="202020"/>
          <w:sz w:val="22"/>
          <w:szCs w:val="22"/>
        </w:rPr>
        <w:t>Factor Analysis Classification System (HFACS), and how we can apply it to information and information security. We explore HFACS as a powerful tool to identify and eliminate the true root causes of the behavioural, technical, and organisational failures th</w:t>
      </w:r>
      <w:r>
        <w:rPr>
          <w:rStyle w:val="StrongEmphasis"/>
          <w:rFonts w:ascii="Arial" w:hAnsi="Arial" w:cs="Arial"/>
          <w:color w:val="202020"/>
          <w:sz w:val="22"/>
          <w:szCs w:val="22"/>
        </w:rPr>
        <w:t>at often lead to today’s breaches.</w:t>
      </w:r>
    </w:p>
    <w:p w14:paraId="3463B911" w14:textId="77777777" w:rsidR="00D5198C" w:rsidRDefault="00D5198C">
      <w:pPr>
        <w:pStyle w:val="Textbody"/>
        <w:spacing w:line="300" w:lineRule="auto"/>
        <w:rPr>
          <w:rFonts w:ascii="Arial" w:hAnsi="Arial" w:cs="Arial"/>
          <w:sz w:val="22"/>
          <w:szCs w:val="22"/>
        </w:rPr>
      </w:pPr>
    </w:p>
    <w:p w14:paraId="70BF7EB0" w14:textId="77777777" w:rsidR="00D5198C" w:rsidRDefault="00BA79C3">
      <w:pPr>
        <w:pStyle w:val="Textbody"/>
        <w:spacing w:line="300" w:lineRule="auto"/>
        <w:rPr>
          <w:rFonts w:hint="eastAsia"/>
        </w:rPr>
      </w:pPr>
      <w:r>
        <w:rPr>
          <w:rStyle w:val="StrongEmphasis"/>
          <w:rFonts w:ascii="Arial" w:hAnsi="Arial" w:cs="Arial"/>
          <w:color w:val="4472C4"/>
          <w:sz w:val="22"/>
          <w:szCs w:val="22"/>
        </w:rPr>
        <w:t>Friday 3 December 2021, 11am-12noon (GMT)</w:t>
      </w:r>
    </w:p>
    <w:p w14:paraId="7D6C2B02" w14:textId="77777777" w:rsidR="00D5198C" w:rsidRDefault="00BA79C3">
      <w:pPr>
        <w:pStyle w:val="Textbody"/>
        <w:spacing w:line="300" w:lineRule="auto"/>
        <w:rPr>
          <w:rFonts w:hint="eastAsia"/>
        </w:rPr>
      </w:pPr>
      <w:r>
        <w:rPr>
          <w:rStyle w:val="StrongEmphasis"/>
          <w:rFonts w:ascii="Arial" w:hAnsi="Arial" w:cs="Arial"/>
          <w:color w:val="202020"/>
          <w:sz w:val="22"/>
          <w:szCs w:val="22"/>
        </w:rPr>
        <w:t xml:space="preserve">Drugs, </w:t>
      </w:r>
      <w:proofErr w:type="gramStart"/>
      <w:r>
        <w:rPr>
          <w:rStyle w:val="StrongEmphasis"/>
          <w:rFonts w:ascii="Arial" w:hAnsi="Arial" w:cs="Arial"/>
          <w:color w:val="202020"/>
          <w:sz w:val="22"/>
          <w:szCs w:val="22"/>
        </w:rPr>
        <w:t>assassins</w:t>
      </w:r>
      <w:proofErr w:type="gramEnd"/>
      <w:r>
        <w:rPr>
          <w:rStyle w:val="StrongEmphasis"/>
          <w:rFonts w:ascii="Arial" w:hAnsi="Arial" w:cs="Arial"/>
          <w:color w:val="202020"/>
          <w:sz w:val="22"/>
          <w:szCs w:val="22"/>
        </w:rPr>
        <w:t xml:space="preserve"> and the Silk Road - Who was Dread Pirate Roberts?</w:t>
      </w:r>
    </w:p>
    <w:p w14:paraId="39BADC58" w14:textId="77777777" w:rsidR="00D5198C" w:rsidRDefault="00BA79C3">
      <w:pPr>
        <w:pStyle w:val="Textbody"/>
        <w:spacing w:line="300" w:lineRule="auto"/>
        <w:rPr>
          <w:rFonts w:hint="eastAsia"/>
        </w:rPr>
      </w:pPr>
      <w:hyperlink r:id="rId9" w:history="1">
        <w:r>
          <w:rPr>
            <w:rStyle w:val="StrongEmphasis"/>
            <w:rFonts w:ascii="Arial" w:hAnsi="Arial" w:cs="Arial"/>
            <w:color w:val="202020"/>
            <w:sz w:val="22"/>
            <w:szCs w:val="22"/>
          </w:rPr>
          <w:t>https://www.thesasig.com/calendar</w:t>
        </w:r>
        <w:r>
          <w:rPr>
            <w:rStyle w:val="StrongEmphasis"/>
            <w:rFonts w:ascii="Arial" w:hAnsi="Arial" w:cs="Arial"/>
            <w:color w:val="202020"/>
            <w:sz w:val="22"/>
            <w:szCs w:val="22"/>
          </w:rPr>
          <w:t>/event/21-12-03-cybercrime/</w:t>
        </w:r>
      </w:hyperlink>
    </w:p>
    <w:p w14:paraId="50A3F61B" w14:textId="77777777" w:rsidR="00D5198C" w:rsidRDefault="00BA79C3">
      <w:pPr>
        <w:pStyle w:val="Textbody"/>
        <w:spacing w:line="300" w:lineRule="auto"/>
        <w:rPr>
          <w:rFonts w:ascii="Arial" w:hAnsi="Arial" w:cs="Arial"/>
          <w:sz w:val="22"/>
          <w:szCs w:val="22"/>
        </w:rPr>
      </w:pPr>
      <w:r>
        <w:rPr>
          <w:rFonts w:ascii="Arial" w:hAnsi="Arial" w:cs="Arial"/>
          <w:sz w:val="22"/>
          <w:szCs w:val="22"/>
        </w:rPr>
        <w:t xml:space="preserve">In February 2011, a website hit the dark web that rocked the internet. The Silk Road was the first modern darknet black market. Running on the un-trackable Tor network, the Silk Road was an online marketplace allowing customers </w:t>
      </w:r>
      <w:r>
        <w:rPr>
          <w:rFonts w:ascii="Arial" w:hAnsi="Arial" w:cs="Arial"/>
          <w:sz w:val="22"/>
          <w:szCs w:val="22"/>
        </w:rPr>
        <w:t>to purchase drugs and have them delivered directly to their front door. Over the short time the Silk Road was active, billions of dollars in anonymous cryptocurrency changed hands, but who was behind it? Who was the mastermind known only as ‘Dread Pirate R</w:t>
      </w:r>
      <w:r>
        <w:rPr>
          <w:rFonts w:ascii="Arial" w:hAnsi="Arial" w:cs="Arial"/>
          <w:sz w:val="22"/>
          <w:szCs w:val="22"/>
        </w:rPr>
        <w:t>oberts’?</w:t>
      </w:r>
    </w:p>
    <w:p w14:paraId="3D25575B" w14:textId="77777777" w:rsidR="00D5198C" w:rsidRDefault="00D5198C">
      <w:pPr>
        <w:pStyle w:val="Textbody"/>
        <w:spacing w:line="300" w:lineRule="auto"/>
        <w:rPr>
          <w:rFonts w:ascii="Arial" w:hAnsi="Arial" w:cs="Arial"/>
          <w:sz w:val="22"/>
          <w:szCs w:val="22"/>
        </w:rPr>
      </w:pPr>
    </w:p>
    <w:p w14:paraId="5C9506F6" w14:textId="77777777" w:rsidR="00D5198C" w:rsidRDefault="00D5198C">
      <w:pPr>
        <w:pStyle w:val="Textbody"/>
        <w:spacing w:line="300" w:lineRule="auto"/>
        <w:rPr>
          <w:rFonts w:ascii="Arial" w:hAnsi="Arial" w:cs="Arial"/>
          <w:sz w:val="22"/>
          <w:szCs w:val="22"/>
        </w:rPr>
      </w:pPr>
    </w:p>
    <w:p w14:paraId="5C390174" w14:textId="77777777" w:rsidR="00D5198C" w:rsidRDefault="00D5198C">
      <w:pPr>
        <w:pStyle w:val="Textbody"/>
        <w:spacing w:line="300" w:lineRule="auto"/>
        <w:rPr>
          <w:rFonts w:ascii="Arial" w:hAnsi="Arial" w:cs="Arial"/>
          <w:sz w:val="22"/>
          <w:szCs w:val="22"/>
        </w:rPr>
      </w:pPr>
    </w:p>
    <w:p w14:paraId="11F9A32C" w14:textId="77777777" w:rsidR="00D5198C" w:rsidRDefault="00BA79C3">
      <w:pPr>
        <w:pStyle w:val="Heading1"/>
        <w:spacing w:line="300" w:lineRule="auto"/>
        <w:rPr>
          <w:rFonts w:hint="eastAsia"/>
        </w:rPr>
      </w:pPr>
      <w:r>
        <w:rPr>
          <w:rStyle w:val="StrongEmphasis"/>
          <w:rFonts w:ascii="Arial" w:hAnsi="Arial" w:cs="Arial"/>
          <w:b/>
          <w:color w:val="FF0000"/>
          <w:sz w:val="22"/>
          <w:szCs w:val="22"/>
          <w:shd w:val="clear" w:color="auto" w:fill="FFFF00"/>
        </w:rPr>
        <w:lastRenderedPageBreak/>
        <w:t xml:space="preserve">ISACA Scotland Event </w:t>
      </w:r>
      <w:r>
        <w:rPr>
          <w:rStyle w:val="StrongEmphasis"/>
          <w:rFonts w:ascii="Arial" w:hAnsi="Arial" w:cs="Arial"/>
          <w:b/>
          <w:color w:val="202020"/>
          <w:sz w:val="22"/>
          <w:szCs w:val="22"/>
          <w:shd w:val="clear" w:color="auto" w:fill="FFFF00"/>
        </w:rPr>
        <w:t xml:space="preserve">by Zoom </w:t>
      </w:r>
      <w:r>
        <w:rPr>
          <w:rStyle w:val="StrongEmphasis"/>
          <w:rFonts w:ascii="Arial" w:hAnsi="Arial" w:cs="Arial"/>
          <w:b/>
          <w:color w:val="FF0000"/>
          <w:sz w:val="22"/>
          <w:szCs w:val="22"/>
          <w:shd w:val="clear" w:color="auto" w:fill="FFFF00"/>
        </w:rPr>
        <w:t>Tuesday Dec 7th 12 - 2.30</w:t>
      </w:r>
      <w:r>
        <w:rPr>
          <w:rFonts w:ascii="Arial" w:hAnsi="Arial" w:cs="Arial"/>
          <w:color w:val="202020"/>
          <w:sz w:val="22"/>
          <w:szCs w:val="22"/>
          <w:shd w:val="clear" w:color="auto" w:fill="FFFF00"/>
        </w:rPr>
        <w:br/>
      </w:r>
      <w:r>
        <w:rPr>
          <w:rStyle w:val="Emphasis"/>
          <w:rFonts w:ascii="Arial" w:hAnsi="Arial" w:cs="Arial"/>
          <w:i w:val="0"/>
          <w:color w:val="202020"/>
          <w:sz w:val="22"/>
          <w:szCs w:val="22"/>
          <w:shd w:val="clear" w:color="auto" w:fill="FFFF00"/>
        </w:rPr>
        <w:t>Technical Speakers, Current Issues and Last Chance to earn 2 CPE Before Christmas </w:t>
      </w:r>
      <w:r>
        <w:rPr>
          <w:rFonts w:ascii="Arial" w:hAnsi="Arial" w:cs="Arial"/>
          <w:color w:val="202020"/>
          <w:sz w:val="22"/>
          <w:szCs w:val="22"/>
          <w:shd w:val="clear" w:color="auto" w:fill="FFFF00"/>
        </w:rPr>
        <w:br/>
      </w:r>
      <w:r>
        <w:rPr>
          <w:rStyle w:val="StrongEmphasis"/>
          <w:rFonts w:ascii="Arial" w:hAnsi="Arial" w:cs="Arial"/>
          <w:b/>
          <w:color w:val="202020"/>
          <w:sz w:val="22"/>
          <w:szCs w:val="22"/>
          <w:shd w:val="clear" w:color="auto" w:fill="FFFF00"/>
        </w:rPr>
        <w:t>Topics</w:t>
      </w:r>
      <w:r>
        <w:rPr>
          <w:rFonts w:ascii="Arial" w:hAnsi="Arial" w:cs="Arial"/>
          <w:color w:val="202020"/>
          <w:sz w:val="22"/>
          <w:szCs w:val="22"/>
          <w:shd w:val="clear" w:color="auto" w:fill="FFFF00"/>
        </w:rPr>
        <w:br/>
      </w:r>
      <w:r>
        <w:rPr>
          <w:rFonts w:ascii="Arial" w:hAnsi="Arial" w:cs="Arial"/>
          <w:color w:val="202020"/>
          <w:sz w:val="22"/>
          <w:szCs w:val="22"/>
          <w:shd w:val="clear" w:color="auto" w:fill="FFFF00"/>
        </w:rPr>
        <w:t>&gt;Continuity &amp; Resilience     Luke Bird</w:t>
      </w:r>
      <w:r>
        <w:rPr>
          <w:rFonts w:ascii="Arial" w:hAnsi="Arial" w:cs="Arial"/>
          <w:color w:val="202020"/>
          <w:sz w:val="22"/>
          <w:szCs w:val="22"/>
          <w:shd w:val="clear" w:color="auto" w:fill="FFFF00"/>
        </w:rPr>
        <w:br/>
      </w:r>
      <w:r>
        <w:rPr>
          <w:rFonts w:ascii="Arial" w:hAnsi="Arial" w:cs="Arial"/>
          <w:color w:val="202020"/>
          <w:sz w:val="22"/>
          <w:szCs w:val="22"/>
          <w:shd w:val="clear" w:color="auto" w:fill="FFFF00"/>
        </w:rPr>
        <w:t xml:space="preserve">&gt;Data Leakage </w:t>
      </w:r>
      <w:proofErr w:type="gramStart"/>
      <w:r>
        <w:rPr>
          <w:rFonts w:ascii="Arial" w:hAnsi="Arial" w:cs="Arial"/>
          <w:color w:val="202020"/>
          <w:sz w:val="22"/>
          <w:szCs w:val="22"/>
          <w:shd w:val="clear" w:color="auto" w:fill="FFFF00"/>
        </w:rPr>
        <w:t>Prevention  Adrian</w:t>
      </w:r>
      <w:proofErr w:type="gramEnd"/>
      <w:r>
        <w:rPr>
          <w:rFonts w:ascii="Arial" w:hAnsi="Arial" w:cs="Arial"/>
          <w:color w:val="202020"/>
          <w:sz w:val="22"/>
          <w:szCs w:val="22"/>
          <w:shd w:val="clear" w:color="auto" w:fill="FFFF00"/>
        </w:rPr>
        <w:t xml:space="preserve"> Smales , Napier Univ</w:t>
      </w:r>
      <w:r>
        <w:rPr>
          <w:rFonts w:ascii="Arial" w:hAnsi="Arial" w:cs="Arial"/>
          <w:color w:val="202020"/>
          <w:sz w:val="22"/>
          <w:szCs w:val="22"/>
          <w:shd w:val="clear" w:color="auto" w:fill="FFFF00"/>
        </w:rPr>
        <w:br/>
      </w:r>
      <w:r>
        <w:rPr>
          <w:rFonts w:ascii="Arial" w:hAnsi="Arial" w:cs="Arial"/>
          <w:color w:val="202020"/>
          <w:sz w:val="22"/>
          <w:szCs w:val="22"/>
          <w:shd w:val="clear" w:color="auto" w:fill="FFFF00"/>
        </w:rPr>
        <w:t>&gt;Solution Architecture   Garry Wilson, Solutions Architect at Sapphire</w:t>
      </w:r>
      <w:r>
        <w:rPr>
          <w:rFonts w:ascii="Arial" w:hAnsi="Arial" w:cs="Arial"/>
          <w:color w:val="202020"/>
          <w:sz w:val="22"/>
          <w:szCs w:val="22"/>
          <w:shd w:val="clear" w:color="auto" w:fill="FFFF00"/>
        </w:rPr>
        <w:br/>
      </w:r>
      <w:r>
        <w:rPr>
          <w:rFonts w:ascii="Arial" w:hAnsi="Arial" w:cs="Arial"/>
          <w:color w:val="202020"/>
          <w:sz w:val="22"/>
          <w:szCs w:val="22"/>
          <w:shd w:val="clear" w:color="auto" w:fill="FFFF00"/>
        </w:rPr>
        <w:t>&gt;Framed by ‘perfect’ software - the Post Office Horizon scandal       James Christie</w:t>
      </w:r>
    </w:p>
    <w:p w14:paraId="30F59545" w14:textId="77777777" w:rsidR="00D5198C" w:rsidRDefault="00BA79C3">
      <w:pPr>
        <w:pStyle w:val="Heading1"/>
        <w:spacing w:line="300" w:lineRule="auto"/>
        <w:rPr>
          <w:rFonts w:hint="eastAsia"/>
        </w:rPr>
      </w:pPr>
      <w:r>
        <w:rPr>
          <w:rStyle w:val="Emphasis"/>
          <w:rFonts w:ascii="Arial" w:hAnsi="Arial" w:cs="Arial"/>
          <w:i w:val="0"/>
          <w:color w:val="202020"/>
          <w:sz w:val="22"/>
          <w:szCs w:val="22"/>
          <w:shd w:val="clear" w:color="auto" w:fill="FFFF00"/>
        </w:rPr>
        <w:t>Register Here</w:t>
      </w:r>
    </w:p>
    <w:p w14:paraId="586C3A14" w14:textId="77777777" w:rsidR="00D5198C" w:rsidRDefault="00BA79C3">
      <w:pPr>
        <w:pStyle w:val="Standard"/>
        <w:rPr>
          <w:rFonts w:hint="eastAsia"/>
        </w:rPr>
      </w:pPr>
      <w:r>
        <w:rPr>
          <w:rFonts w:ascii="Arial" w:hAnsi="Arial" w:cs="Arial"/>
          <w:sz w:val="22"/>
          <w:szCs w:val="22"/>
          <w:shd w:val="clear" w:color="auto" w:fill="FFFF00"/>
        </w:rPr>
        <w:t>https://us02web.zoom.us/webinar/register/WN_eVUDkRhmQQaJFWhZkh0Udw</w:t>
      </w:r>
    </w:p>
    <w:p w14:paraId="4AFCEC14" w14:textId="77777777" w:rsidR="00D5198C" w:rsidRDefault="00BA79C3">
      <w:pPr>
        <w:pStyle w:val="Standard"/>
        <w:rPr>
          <w:rFonts w:ascii="Arial" w:hAnsi="Arial" w:cs="Arial"/>
          <w:sz w:val="22"/>
          <w:szCs w:val="22"/>
        </w:rPr>
      </w:pPr>
      <w:r>
        <w:rPr>
          <w:rFonts w:ascii="Arial" w:hAnsi="Arial" w:cs="Arial"/>
          <w:sz w:val="22"/>
          <w:szCs w:val="22"/>
        </w:rPr>
        <w:t>Webinars</w:t>
      </w:r>
    </w:p>
    <w:p w14:paraId="63F99ACC" w14:textId="77777777" w:rsidR="00D5198C" w:rsidRDefault="00D5198C">
      <w:pPr>
        <w:pStyle w:val="Standard"/>
        <w:rPr>
          <w:rFonts w:ascii="Arial" w:hAnsi="Arial" w:cs="Arial"/>
          <w:sz w:val="22"/>
          <w:szCs w:val="22"/>
        </w:rPr>
      </w:pPr>
    </w:p>
    <w:p w14:paraId="79B474A6" w14:textId="77777777" w:rsidR="00D5198C" w:rsidRDefault="00BA79C3">
      <w:pPr>
        <w:pStyle w:val="Standard"/>
        <w:rPr>
          <w:rFonts w:hint="eastAsia"/>
        </w:rPr>
      </w:pPr>
      <w:r>
        <w:rPr>
          <w:rFonts w:ascii="Arial" w:hAnsi="Arial" w:cs="Arial"/>
          <w:b/>
          <w:bCs/>
          <w:color w:val="ED7D31"/>
          <w:sz w:val="22"/>
          <w:szCs w:val="22"/>
        </w:rPr>
        <w:t xml:space="preserve">Building </w:t>
      </w:r>
      <w:r>
        <w:rPr>
          <w:rFonts w:ascii="Arial" w:hAnsi="Arial" w:cs="Arial"/>
          <w:b/>
          <w:bCs/>
          <w:color w:val="ED7D31"/>
          <w:sz w:val="22"/>
          <w:szCs w:val="22"/>
        </w:rPr>
        <w:t xml:space="preserve">Security in Maturity Model (BSIMM) 12   </w:t>
      </w:r>
      <w:hyperlink r:id="rId10" w:history="1">
        <w:r>
          <w:rPr>
            <w:rFonts w:ascii="Arial" w:hAnsi="Arial" w:cs="Arial"/>
            <w:b/>
            <w:bCs/>
            <w:color w:val="ED7D31"/>
            <w:sz w:val="22"/>
            <w:szCs w:val="22"/>
          </w:rPr>
          <w:t>Synopsys</w:t>
        </w:r>
      </w:hyperlink>
    </w:p>
    <w:p w14:paraId="1AEBFDC4" w14:textId="77777777" w:rsidR="00D5198C" w:rsidRDefault="00BA79C3">
      <w:pPr>
        <w:pStyle w:val="Standard"/>
        <w:rPr>
          <w:rFonts w:hint="eastAsia"/>
        </w:rPr>
      </w:pPr>
      <w:hyperlink r:id="rId11" w:history="1">
        <w:r>
          <w:rPr>
            <w:rFonts w:ascii="Arial" w:hAnsi="Arial" w:cs="Arial"/>
            <w:sz w:val="22"/>
            <w:szCs w:val="22"/>
          </w:rPr>
          <w:t>https://www.brighttalk.com/webcast/13983/516249</w:t>
        </w:r>
      </w:hyperlink>
    </w:p>
    <w:p w14:paraId="6A730C9C" w14:textId="77777777" w:rsidR="00D5198C" w:rsidRDefault="00BA79C3">
      <w:pPr>
        <w:pStyle w:val="Heading1"/>
        <w:rPr>
          <w:rFonts w:ascii="Arial" w:hAnsi="Arial" w:cs="Arial"/>
          <w:color w:val="ED7D31"/>
          <w:sz w:val="22"/>
          <w:szCs w:val="22"/>
        </w:rPr>
      </w:pPr>
      <w:r>
        <w:rPr>
          <w:rFonts w:ascii="Arial" w:hAnsi="Arial" w:cs="Arial"/>
          <w:color w:val="ED7D31"/>
          <w:sz w:val="22"/>
          <w:szCs w:val="22"/>
        </w:rPr>
        <w:t>Attackers don’t bother brute-forcin</w:t>
      </w:r>
      <w:r>
        <w:rPr>
          <w:rFonts w:ascii="Arial" w:hAnsi="Arial" w:cs="Arial"/>
          <w:color w:val="ED7D31"/>
          <w:sz w:val="22"/>
          <w:szCs w:val="22"/>
        </w:rPr>
        <w:t xml:space="preserve">g long passwords with special </w:t>
      </w:r>
      <w:proofErr w:type="gramStart"/>
      <w:r>
        <w:rPr>
          <w:rFonts w:ascii="Arial" w:hAnsi="Arial" w:cs="Arial"/>
          <w:color w:val="ED7D31"/>
          <w:sz w:val="22"/>
          <w:szCs w:val="22"/>
        </w:rPr>
        <w:t>characters  Microsoft</w:t>
      </w:r>
      <w:proofErr w:type="gramEnd"/>
      <w:r>
        <w:rPr>
          <w:rFonts w:ascii="Arial" w:hAnsi="Arial" w:cs="Arial"/>
          <w:color w:val="ED7D31"/>
          <w:sz w:val="22"/>
          <w:szCs w:val="22"/>
        </w:rPr>
        <w:t xml:space="preserve"> engineer says</w:t>
      </w:r>
    </w:p>
    <w:p w14:paraId="5AB7B6A7" w14:textId="77777777" w:rsidR="00D5198C" w:rsidRDefault="00BA79C3">
      <w:pPr>
        <w:pStyle w:val="Textbody"/>
        <w:rPr>
          <w:rFonts w:ascii="Arial" w:hAnsi="Arial" w:cs="Arial"/>
          <w:b/>
          <w:bCs/>
          <w:sz w:val="22"/>
          <w:szCs w:val="22"/>
        </w:rPr>
      </w:pPr>
      <w:r>
        <w:rPr>
          <w:rFonts w:ascii="Arial" w:hAnsi="Arial" w:cs="Arial"/>
          <w:b/>
          <w:bCs/>
          <w:sz w:val="22"/>
          <w:szCs w:val="22"/>
        </w:rPr>
        <w:t>https://therecord.media/attackers-dont-bother-brute-forcing-long-passwords-microsoft-engineer-says/</w:t>
      </w:r>
    </w:p>
    <w:p w14:paraId="54E719C8" w14:textId="77777777" w:rsidR="00D5198C" w:rsidRDefault="00BA79C3">
      <w:pPr>
        <w:pStyle w:val="Standard"/>
        <w:rPr>
          <w:rFonts w:ascii="Arial" w:hAnsi="Arial" w:cs="Arial"/>
          <w:b/>
          <w:bCs/>
          <w:color w:val="ED7D31"/>
          <w:sz w:val="22"/>
          <w:szCs w:val="22"/>
        </w:rPr>
      </w:pPr>
      <w:r>
        <w:rPr>
          <w:rFonts w:ascii="Arial" w:hAnsi="Arial" w:cs="Arial"/>
          <w:b/>
          <w:bCs/>
          <w:color w:val="ED7D31"/>
          <w:sz w:val="22"/>
          <w:szCs w:val="22"/>
        </w:rPr>
        <w:t xml:space="preserve">Financial Crime Typologies in </w:t>
      </w:r>
      <w:proofErr w:type="gramStart"/>
      <w:r>
        <w:rPr>
          <w:rFonts w:ascii="Arial" w:hAnsi="Arial" w:cs="Arial"/>
          <w:b/>
          <w:bCs/>
          <w:color w:val="ED7D31"/>
          <w:sz w:val="22"/>
          <w:szCs w:val="22"/>
        </w:rPr>
        <w:t>Cryptoassets  Elliptic</w:t>
      </w:r>
      <w:proofErr w:type="gramEnd"/>
    </w:p>
    <w:p w14:paraId="40D4E3D3" w14:textId="77777777" w:rsidR="00D5198C" w:rsidRDefault="00BA79C3">
      <w:pPr>
        <w:pStyle w:val="Standard"/>
        <w:rPr>
          <w:rFonts w:hint="eastAsia"/>
        </w:rPr>
      </w:pPr>
      <w:hyperlink r:id="rId12" w:history="1">
        <w:r>
          <w:rPr>
            <w:rFonts w:ascii="Arial" w:hAnsi="Arial" w:cs="Arial"/>
            <w:sz w:val="22"/>
            <w:szCs w:val="22"/>
          </w:rPr>
          <w:t>https://www.elliptic.co/hubfs/Financial%20Crime%20Typologies%20in%20Cryptoassets%20Guides%20(All%20Assets)/Typologies_Concise%20Guide_12-20.pdf</w:t>
        </w:r>
      </w:hyperlink>
    </w:p>
    <w:p w14:paraId="4234EB25" w14:textId="77777777" w:rsidR="00D5198C" w:rsidRDefault="00D5198C">
      <w:pPr>
        <w:pStyle w:val="Standard"/>
        <w:rPr>
          <w:rFonts w:ascii="Arial" w:hAnsi="Arial" w:cs="Arial"/>
          <w:sz w:val="22"/>
          <w:szCs w:val="22"/>
        </w:rPr>
      </w:pPr>
    </w:p>
    <w:p w14:paraId="032DCDF3" w14:textId="77777777" w:rsidR="00D5198C" w:rsidRDefault="00BA79C3">
      <w:pPr>
        <w:pStyle w:val="Standard"/>
        <w:rPr>
          <w:rFonts w:ascii="Arial" w:hAnsi="Arial" w:cs="Arial"/>
          <w:sz w:val="22"/>
          <w:szCs w:val="22"/>
        </w:rPr>
      </w:pPr>
      <w:r>
        <w:rPr>
          <w:rFonts w:ascii="Arial" w:hAnsi="Arial" w:cs="Arial"/>
          <w:sz w:val="22"/>
          <w:szCs w:val="22"/>
        </w:rPr>
        <w:t xml:space="preserve">Mistakes in the design and development of decentralized apps are the </w:t>
      </w:r>
      <w:r>
        <w:rPr>
          <w:rFonts w:ascii="Arial" w:hAnsi="Arial" w:cs="Arial"/>
          <w:sz w:val="22"/>
          <w:szCs w:val="22"/>
        </w:rPr>
        <w:t>most common cause, giving rise to bugs which hackers can exploit, accounting for $10.8 billion of all losses.  Another $1 billion in losses are the result of exit scams (where a Decentralised App creator intentionally leaves a ‘backdoor’ in the code that a</w:t>
      </w:r>
      <w:r>
        <w:rPr>
          <w:rFonts w:ascii="Arial" w:hAnsi="Arial" w:cs="Arial"/>
          <w:sz w:val="22"/>
          <w:szCs w:val="22"/>
        </w:rPr>
        <w:t>llows them to steal users’ funds) and the theft of 'admin keys'.</w:t>
      </w:r>
    </w:p>
    <w:p w14:paraId="0F429F26" w14:textId="77777777" w:rsidR="00D5198C" w:rsidRDefault="00D5198C">
      <w:pPr>
        <w:pStyle w:val="Standard"/>
        <w:rPr>
          <w:rFonts w:ascii="Arial" w:hAnsi="Arial" w:cs="Arial"/>
          <w:sz w:val="22"/>
          <w:szCs w:val="22"/>
        </w:rPr>
      </w:pPr>
    </w:p>
    <w:p w14:paraId="09E02D4E" w14:textId="77777777" w:rsidR="00D5198C" w:rsidRDefault="00BA79C3">
      <w:pPr>
        <w:pStyle w:val="Standard"/>
        <w:rPr>
          <w:rFonts w:ascii="Arial" w:hAnsi="Arial" w:cs="Arial"/>
          <w:b/>
          <w:bCs/>
          <w:color w:val="ED7D31"/>
          <w:sz w:val="22"/>
          <w:szCs w:val="22"/>
        </w:rPr>
      </w:pPr>
      <w:r>
        <w:rPr>
          <w:rFonts w:ascii="Arial" w:hAnsi="Arial" w:cs="Arial"/>
          <w:b/>
          <w:bCs/>
          <w:color w:val="ED7D31"/>
          <w:sz w:val="22"/>
          <w:szCs w:val="22"/>
        </w:rPr>
        <w:t xml:space="preserve">US Federal Regulators 36 Hours Computer-Security Incident Notification Requirements for Banking </w:t>
      </w:r>
      <w:proofErr w:type="gramStart"/>
      <w:r>
        <w:rPr>
          <w:rFonts w:ascii="Arial" w:hAnsi="Arial" w:cs="Arial"/>
          <w:b/>
          <w:bCs/>
          <w:color w:val="ED7D31"/>
          <w:sz w:val="22"/>
          <w:szCs w:val="22"/>
        </w:rPr>
        <w:t>Organizations  and</w:t>
      </w:r>
      <w:proofErr w:type="gramEnd"/>
      <w:r>
        <w:rPr>
          <w:rFonts w:ascii="Arial" w:hAnsi="Arial" w:cs="Arial"/>
          <w:b/>
          <w:bCs/>
          <w:color w:val="ED7D31"/>
          <w:sz w:val="22"/>
          <w:szCs w:val="22"/>
        </w:rPr>
        <w:t xml:space="preserve">  Their Bank Service Providers</w:t>
      </w:r>
    </w:p>
    <w:p w14:paraId="7836D22A" w14:textId="77777777" w:rsidR="00D5198C" w:rsidRDefault="00BA79C3">
      <w:pPr>
        <w:pStyle w:val="Standard"/>
        <w:rPr>
          <w:rFonts w:hint="eastAsia"/>
        </w:rPr>
      </w:pPr>
      <w:hyperlink r:id="rId13" w:history="1">
        <w:r>
          <w:rPr>
            <w:rFonts w:ascii="Arial" w:hAnsi="Arial" w:cs="Arial"/>
            <w:sz w:val="22"/>
            <w:szCs w:val="22"/>
          </w:rPr>
          <w:t>https://www.fdic.gov/news/board-matters/2021/2021-11-17-notational-fr.pdf</w:t>
        </w:r>
      </w:hyperlink>
    </w:p>
    <w:p w14:paraId="6A298460" w14:textId="77777777" w:rsidR="00D5198C" w:rsidRDefault="00D5198C">
      <w:pPr>
        <w:pStyle w:val="Standard"/>
        <w:rPr>
          <w:rFonts w:ascii="Arial" w:hAnsi="Arial" w:cs="Arial"/>
          <w:sz w:val="22"/>
          <w:szCs w:val="22"/>
        </w:rPr>
      </w:pPr>
    </w:p>
    <w:p w14:paraId="55C83F19" w14:textId="77777777" w:rsidR="00D5198C" w:rsidRDefault="00BA79C3">
      <w:pPr>
        <w:pStyle w:val="Standard"/>
        <w:rPr>
          <w:rFonts w:ascii="Arial" w:hAnsi="Arial" w:cs="Arial"/>
          <w:b/>
          <w:bCs/>
          <w:color w:val="ED7D31"/>
          <w:sz w:val="22"/>
          <w:szCs w:val="22"/>
        </w:rPr>
      </w:pPr>
      <w:r>
        <w:rPr>
          <w:rFonts w:ascii="Arial" w:hAnsi="Arial" w:cs="Arial"/>
          <w:b/>
          <w:bCs/>
          <w:color w:val="ED7D31"/>
          <w:sz w:val="22"/>
          <w:szCs w:val="22"/>
        </w:rPr>
        <w:t>US CISA Playbooks for incident and vulnerability response</w:t>
      </w:r>
    </w:p>
    <w:p w14:paraId="7E299551" w14:textId="77777777" w:rsidR="00D5198C" w:rsidRDefault="00D5198C">
      <w:pPr>
        <w:pStyle w:val="Standard"/>
        <w:rPr>
          <w:rFonts w:ascii="Arial" w:hAnsi="Arial" w:cs="Arial"/>
          <w:sz w:val="22"/>
          <w:szCs w:val="22"/>
        </w:rPr>
      </w:pPr>
    </w:p>
    <w:p w14:paraId="1C525291" w14:textId="77777777" w:rsidR="00D5198C" w:rsidRDefault="00BA79C3">
      <w:pPr>
        <w:pStyle w:val="Standard"/>
        <w:rPr>
          <w:rFonts w:hint="eastAsia"/>
        </w:rPr>
      </w:pPr>
      <w:hyperlink r:id="rId14" w:history="1">
        <w:r>
          <w:rPr>
            <w:rFonts w:ascii="Arial" w:hAnsi="Arial" w:cs="Arial"/>
            <w:sz w:val="22"/>
            <w:szCs w:val="22"/>
          </w:rPr>
          <w:t>https://www.cisa.gov/sites/default/files/publications/Federal_Government_Cybersecurity_Incident_and</w:t>
        </w:r>
        <w:r>
          <w:rPr>
            <w:rFonts w:ascii="Arial" w:hAnsi="Arial" w:cs="Arial"/>
            <w:sz w:val="22"/>
            <w:szCs w:val="22"/>
          </w:rPr>
          <w:t>_Vulnerability_Response_Playbooks_508C.pdf</w:t>
        </w:r>
      </w:hyperlink>
    </w:p>
    <w:p w14:paraId="1D364E2F" w14:textId="77777777" w:rsidR="00D5198C" w:rsidRDefault="00D5198C">
      <w:pPr>
        <w:pStyle w:val="Standard"/>
        <w:rPr>
          <w:rFonts w:ascii="Arial" w:hAnsi="Arial" w:cs="Arial"/>
          <w:sz w:val="22"/>
          <w:szCs w:val="22"/>
        </w:rPr>
      </w:pPr>
    </w:p>
    <w:p w14:paraId="47621BD1" w14:textId="77777777" w:rsidR="00D5198C" w:rsidRDefault="00BA79C3">
      <w:pPr>
        <w:pStyle w:val="Standard"/>
        <w:rPr>
          <w:rFonts w:ascii="Arial" w:hAnsi="Arial" w:cs="Arial"/>
          <w:b/>
          <w:bCs/>
          <w:color w:val="ED7D31"/>
          <w:sz w:val="22"/>
          <w:szCs w:val="22"/>
        </w:rPr>
      </w:pPr>
      <w:r>
        <w:rPr>
          <w:rFonts w:ascii="Arial" w:hAnsi="Arial" w:cs="Arial"/>
          <w:b/>
          <w:bCs/>
          <w:color w:val="ED7D31"/>
          <w:sz w:val="22"/>
          <w:szCs w:val="22"/>
        </w:rPr>
        <w:t>Reducing the Significant Risk of Known Exploited Vulnerabilities</w:t>
      </w:r>
    </w:p>
    <w:p w14:paraId="19D20A5A" w14:textId="77777777" w:rsidR="00D5198C" w:rsidRDefault="00BA79C3">
      <w:pPr>
        <w:pStyle w:val="Standard"/>
        <w:rPr>
          <w:rFonts w:hint="eastAsia"/>
        </w:rPr>
      </w:pPr>
      <w:hyperlink r:id="rId15" w:history="1">
        <w:r>
          <w:rPr>
            <w:rFonts w:ascii="Arial" w:hAnsi="Arial" w:cs="Arial"/>
            <w:sz w:val="22"/>
            <w:szCs w:val="22"/>
          </w:rPr>
          <w:t>https://cyber.dhs.gov/bod/22-01/</w:t>
        </w:r>
      </w:hyperlink>
    </w:p>
    <w:p w14:paraId="29E3E7FA" w14:textId="77777777" w:rsidR="00D5198C" w:rsidRDefault="00D5198C">
      <w:pPr>
        <w:pStyle w:val="Standard"/>
        <w:rPr>
          <w:rFonts w:ascii="Arial" w:hAnsi="Arial" w:cs="Arial"/>
          <w:sz w:val="22"/>
          <w:szCs w:val="22"/>
        </w:rPr>
      </w:pPr>
    </w:p>
    <w:p w14:paraId="27472E06" w14:textId="77777777" w:rsidR="00D5198C" w:rsidRDefault="00BA79C3">
      <w:pPr>
        <w:pStyle w:val="Standard"/>
        <w:rPr>
          <w:rFonts w:ascii="Arial" w:hAnsi="Arial" w:cs="Arial"/>
          <w:sz w:val="22"/>
          <w:szCs w:val="22"/>
        </w:rPr>
      </w:pPr>
      <w:r>
        <w:rPr>
          <w:rFonts w:ascii="Arial" w:hAnsi="Arial" w:cs="Arial"/>
          <w:sz w:val="22"/>
          <w:szCs w:val="22"/>
        </w:rPr>
        <w:t xml:space="preserve">The U.S. Cybersecurity and Infrastructure Security Agency this </w:t>
      </w:r>
      <w:r>
        <w:rPr>
          <w:rFonts w:ascii="Arial" w:hAnsi="Arial" w:cs="Arial"/>
          <w:sz w:val="22"/>
          <w:szCs w:val="22"/>
        </w:rPr>
        <w:t>week issued playbooks for incident and vulnerability response, providing federal civilian agencies with a standard set of procedures to both respond to incidents and address vulnerabilities on government networks.</w:t>
      </w:r>
    </w:p>
    <w:p w14:paraId="70BD6B9A" w14:textId="77777777" w:rsidR="00D5198C" w:rsidRDefault="00BA79C3">
      <w:pPr>
        <w:pStyle w:val="Standard"/>
        <w:rPr>
          <w:rFonts w:ascii="Arial" w:hAnsi="Arial" w:cs="Arial"/>
          <w:sz w:val="22"/>
          <w:szCs w:val="22"/>
        </w:rPr>
      </w:pPr>
      <w:r>
        <w:rPr>
          <w:rFonts w:ascii="Arial" w:hAnsi="Arial" w:cs="Arial"/>
          <w:sz w:val="22"/>
          <w:szCs w:val="22"/>
        </w:rPr>
        <w:t>The 43-page document builds on CISA's Bind</w:t>
      </w:r>
      <w:r>
        <w:rPr>
          <w:rFonts w:ascii="Arial" w:hAnsi="Arial" w:cs="Arial"/>
          <w:sz w:val="22"/>
          <w:szCs w:val="22"/>
        </w:rPr>
        <w:t>ing Operational Directive 22-01, issued this month, in which federal civilian agencies were required to patch some 200 vulnerabilities known to be exploited in the wild - including short deadlines for urgent common vulnerabilities and exposures, or CVEs, a</w:t>
      </w:r>
      <w:r>
        <w:rPr>
          <w:rFonts w:ascii="Arial" w:hAnsi="Arial" w:cs="Arial"/>
          <w:sz w:val="22"/>
          <w:szCs w:val="22"/>
        </w:rPr>
        <w:t>nd others requiring mitigation by May 2022</w:t>
      </w:r>
    </w:p>
    <w:p w14:paraId="2DD5E177" w14:textId="77777777" w:rsidR="00D5198C" w:rsidRDefault="00D5198C">
      <w:pPr>
        <w:pStyle w:val="Standard"/>
        <w:rPr>
          <w:rFonts w:ascii="Arial" w:hAnsi="Arial" w:cs="Arial"/>
          <w:sz w:val="22"/>
          <w:szCs w:val="22"/>
        </w:rPr>
      </w:pPr>
    </w:p>
    <w:p w14:paraId="01376914" w14:textId="77777777" w:rsidR="00D5198C" w:rsidRDefault="00BA79C3">
      <w:pPr>
        <w:pStyle w:val="Standard"/>
        <w:rPr>
          <w:rFonts w:hint="eastAsia"/>
        </w:rPr>
      </w:pPr>
      <w:r>
        <w:rPr>
          <w:rFonts w:ascii="Arial" w:hAnsi="Arial" w:cs="Arial"/>
          <w:b/>
          <w:bCs/>
          <w:color w:val="ED7D31"/>
          <w:sz w:val="22"/>
          <w:szCs w:val="22"/>
        </w:rPr>
        <w:t xml:space="preserve">HTML smuggling via opening URL or HTML attachment in web browser </w:t>
      </w:r>
      <w:r>
        <w:rPr>
          <w:rFonts w:ascii="Arial" w:hAnsi="Arial" w:cs="Arial"/>
          <w:color w:val="ED7D31"/>
          <w:sz w:val="22"/>
          <w:szCs w:val="22"/>
        </w:rPr>
        <w:t>to download Javascript blob from which malware is unpacked</w:t>
      </w:r>
    </w:p>
    <w:p w14:paraId="45C6C562" w14:textId="77777777" w:rsidR="00D5198C" w:rsidRDefault="00BA79C3">
      <w:pPr>
        <w:pStyle w:val="Standard"/>
        <w:rPr>
          <w:rFonts w:ascii="Arial" w:hAnsi="Arial" w:cs="Arial"/>
          <w:sz w:val="22"/>
          <w:szCs w:val="22"/>
        </w:rPr>
      </w:pPr>
      <w:r>
        <w:rPr>
          <w:rFonts w:ascii="Arial" w:hAnsi="Arial" w:cs="Arial"/>
          <w:sz w:val="22"/>
          <w:szCs w:val="22"/>
        </w:rPr>
        <w:t>https://cyberdaily.securelayer7.net/html-smuggling-targets-banking-industry/</w:t>
      </w:r>
    </w:p>
    <w:p w14:paraId="758F2561" w14:textId="77777777" w:rsidR="00D5198C" w:rsidRDefault="00D5198C">
      <w:pPr>
        <w:pStyle w:val="Standard"/>
        <w:rPr>
          <w:rFonts w:ascii="Arial" w:hAnsi="Arial" w:cs="Arial"/>
          <w:sz w:val="22"/>
          <w:szCs w:val="22"/>
        </w:rPr>
      </w:pPr>
    </w:p>
    <w:p w14:paraId="0F99EB4F" w14:textId="77777777" w:rsidR="00D5198C" w:rsidRDefault="00BA79C3">
      <w:pPr>
        <w:pStyle w:val="Standard"/>
        <w:rPr>
          <w:rFonts w:hint="eastAsia"/>
        </w:rPr>
      </w:pPr>
      <w:hyperlink r:id="rId16" w:history="1">
        <w:r>
          <w:rPr>
            <w:rFonts w:ascii="Arial" w:hAnsi="Arial" w:cs="Arial"/>
            <w:b/>
            <w:bCs/>
            <w:color w:val="ED7D31"/>
            <w:sz w:val="22"/>
            <w:szCs w:val="22"/>
          </w:rPr>
          <w:t>h</w:t>
        </w:r>
        <w:r>
          <w:rPr>
            <w:rFonts w:ascii="Arial" w:hAnsi="Arial" w:cs="Arial"/>
            <w:b/>
            <w:bCs/>
            <w:color w:val="ED7D31"/>
            <w:sz w:val="22"/>
            <w:szCs w:val="22"/>
          </w:rPr>
          <w:t>ttps://www.microsoft.com/security/blog/2021/11/11/html-smuggling-surges-highly-evasive-loader-technique-increasingly-used-in-banking-malware-targeted-attacks/</w:t>
        </w:r>
      </w:hyperlink>
    </w:p>
    <w:p w14:paraId="1EE4ECEC" w14:textId="77777777" w:rsidR="00D5198C" w:rsidRDefault="00D5198C">
      <w:pPr>
        <w:pStyle w:val="Standard"/>
        <w:rPr>
          <w:rFonts w:ascii="Arial" w:hAnsi="Arial" w:cs="Arial"/>
          <w:b/>
          <w:bCs/>
          <w:sz w:val="22"/>
          <w:szCs w:val="22"/>
        </w:rPr>
      </w:pPr>
    </w:p>
    <w:p w14:paraId="4F61EE8D" w14:textId="77777777" w:rsidR="00D5198C" w:rsidRDefault="00BA79C3">
      <w:pPr>
        <w:pStyle w:val="Heading1"/>
        <w:rPr>
          <w:rFonts w:ascii="Arial" w:hAnsi="Arial" w:cs="Arial"/>
          <w:color w:val="ED7D31"/>
          <w:sz w:val="22"/>
          <w:szCs w:val="22"/>
        </w:rPr>
      </w:pPr>
      <w:r>
        <w:rPr>
          <w:rFonts w:ascii="Arial" w:hAnsi="Arial" w:cs="Arial"/>
          <w:color w:val="ED7D31"/>
          <w:sz w:val="22"/>
          <w:szCs w:val="22"/>
        </w:rPr>
        <w:lastRenderedPageBreak/>
        <w:t>31-days-of-API-Security-Tips</w:t>
      </w:r>
    </w:p>
    <w:p w14:paraId="7B0988BC" w14:textId="77777777" w:rsidR="00D5198C" w:rsidRDefault="00BA79C3">
      <w:pPr>
        <w:pStyle w:val="Heading3"/>
        <w:rPr>
          <w:rFonts w:ascii="Arial" w:hAnsi="Arial" w:cs="Arial"/>
          <w:sz w:val="22"/>
          <w:szCs w:val="22"/>
        </w:rPr>
      </w:pPr>
      <w:r>
        <w:rPr>
          <w:rFonts w:ascii="Arial" w:hAnsi="Arial" w:cs="Arial"/>
          <w:sz w:val="22"/>
          <w:szCs w:val="22"/>
        </w:rPr>
        <w:t>https://github.com/inonshk/31-days-of-API-Security-Tips</w:t>
      </w:r>
    </w:p>
    <w:p w14:paraId="37CF9B9E" w14:textId="77777777" w:rsidR="00D5198C" w:rsidRDefault="00BA79C3">
      <w:pPr>
        <w:pStyle w:val="Heading1"/>
        <w:rPr>
          <w:rFonts w:ascii="Arial" w:hAnsi="Arial" w:cs="Arial"/>
          <w:color w:val="ED7D31"/>
          <w:sz w:val="22"/>
          <w:szCs w:val="22"/>
        </w:rPr>
      </w:pPr>
      <w:r>
        <w:rPr>
          <w:rFonts w:ascii="Arial" w:hAnsi="Arial" w:cs="Arial"/>
          <w:color w:val="ED7D31"/>
          <w:sz w:val="22"/>
          <w:szCs w:val="22"/>
        </w:rPr>
        <w:t xml:space="preserve">Kubernetes </w:t>
      </w:r>
      <w:r>
        <w:rPr>
          <w:rFonts w:ascii="Arial" w:hAnsi="Arial" w:cs="Arial"/>
          <w:color w:val="ED7D31"/>
          <w:sz w:val="22"/>
          <w:szCs w:val="22"/>
        </w:rPr>
        <w:t>API Access Security Hardening.</w:t>
      </w:r>
    </w:p>
    <w:p w14:paraId="3291D809" w14:textId="77777777" w:rsidR="00D5198C" w:rsidRDefault="00BA79C3">
      <w:pPr>
        <w:pStyle w:val="Textbody"/>
        <w:rPr>
          <w:rFonts w:ascii="Arial" w:hAnsi="Arial" w:cs="Arial"/>
          <w:b/>
          <w:bCs/>
          <w:sz w:val="22"/>
          <w:szCs w:val="22"/>
        </w:rPr>
      </w:pPr>
      <w:r>
        <w:rPr>
          <w:rFonts w:ascii="Arial" w:hAnsi="Arial" w:cs="Arial"/>
          <w:b/>
          <w:bCs/>
          <w:sz w:val="22"/>
          <w:szCs w:val="22"/>
        </w:rPr>
        <w:t>https://goteleport.com/blog/kubernetes-api-access-security</w:t>
      </w:r>
    </w:p>
    <w:p w14:paraId="2019B0BB" w14:textId="77777777" w:rsidR="00D5198C" w:rsidRDefault="00BA79C3">
      <w:pPr>
        <w:pStyle w:val="Heading1"/>
        <w:rPr>
          <w:rFonts w:hint="eastAsia"/>
        </w:rPr>
      </w:pPr>
      <w:r>
        <w:rPr>
          <w:rFonts w:ascii="Arial" w:hAnsi="Arial" w:cs="Arial"/>
          <w:color w:val="ED7D31"/>
          <w:sz w:val="22"/>
          <w:szCs w:val="22"/>
        </w:rPr>
        <w:t xml:space="preserve">Microsoft makes free 20Gb Windows </w:t>
      </w:r>
      <w:r>
        <w:rPr>
          <w:rFonts w:ascii="Arial" w:hAnsi="Arial" w:cs="Arial"/>
          <w:sz w:val="22"/>
          <w:szCs w:val="22"/>
        </w:rPr>
        <w:t xml:space="preserve">11 Enterprise virtual machine available to </w:t>
      </w:r>
      <w:proofErr w:type="gramStart"/>
      <w:r>
        <w:rPr>
          <w:rFonts w:ascii="Arial" w:hAnsi="Arial" w:cs="Arial"/>
          <w:sz w:val="22"/>
          <w:szCs w:val="22"/>
        </w:rPr>
        <w:t>developers  for</w:t>
      </w:r>
      <w:proofErr w:type="gramEnd"/>
      <w:r>
        <w:rPr>
          <w:rFonts w:ascii="Arial" w:hAnsi="Arial" w:cs="Arial"/>
          <w:sz w:val="22"/>
          <w:szCs w:val="22"/>
        </w:rPr>
        <w:t xml:space="preserve"> download until Sept 2022</w:t>
      </w:r>
    </w:p>
    <w:p w14:paraId="149DB926" w14:textId="77777777" w:rsidR="00D5198C" w:rsidRDefault="00BA79C3">
      <w:pPr>
        <w:pStyle w:val="Textbody"/>
        <w:rPr>
          <w:rFonts w:ascii="Arial" w:hAnsi="Arial" w:cs="Arial"/>
          <w:sz w:val="22"/>
          <w:szCs w:val="22"/>
        </w:rPr>
      </w:pPr>
      <w:r>
        <w:rPr>
          <w:rFonts w:ascii="Arial" w:hAnsi="Arial" w:cs="Arial"/>
          <w:sz w:val="22"/>
          <w:szCs w:val="22"/>
        </w:rPr>
        <w:t>The 20GB download features an evaluation copy of</w:t>
      </w:r>
      <w:r>
        <w:rPr>
          <w:rFonts w:ascii="Arial" w:hAnsi="Arial" w:cs="Arial"/>
          <w:sz w:val="22"/>
          <w:szCs w:val="22"/>
        </w:rPr>
        <w:t xml:space="preserve"> Windows 11 and much more.</w:t>
      </w:r>
    </w:p>
    <w:p w14:paraId="01D497A9" w14:textId="77777777" w:rsidR="00D5198C" w:rsidRDefault="00BA79C3">
      <w:pPr>
        <w:pStyle w:val="Standard"/>
        <w:rPr>
          <w:rFonts w:ascii="Arial" w:hAnsi="Arial" w:cs="Arial"/>
          <w:b/>
          <w:bCs/>
          <w:sz w:val="22"/>
          <w:szCs w:val="22"/>
        </w:rPr>
      </w:pPr>
      <w:r>
        <w:rPr>
          <w:rFonts w:ascii="Arial" w:hAnsi="Arial" w:cs="Arial"/>
          <w:b/>
          <w:bCs/>
          <w:sz w:val="22"/>
          <w:szCs w:val="22"/>
        </w:rPr>
        <w:t>According to Microsoft, these virtual machines will expire on 01/09/22</w:t>
      </w:r>
    </w:p>
    <w:p w14:paraId="53CAF25B" w14:textId="77777777" w:rsidR="00D5198C" w:rsidRDefault="00BA79C3">
      <w:pPr>
        <w:pStyle w:val="Standard"/>
        <w:rPr>
          <w:rFonts w:ascii="Arial" w:hAnsi="Arial" w:cs="Arial"/>
          <w:sz w:val="22"/>
          <w:szCs w:val="22"/>
        </w:rPr>
      </w:pPr>
      <w:r>
        <w:rPr>
          <w:rFonts w:ascii="Arial" w:hAnsi="Arial" w:cs="Arial"/>
          <w:sz w:val="22"/>
          <w:szCs w:val="22"/>
        </w:rPr>
        <w:t xml:space="preserve">Microsoft has made downloads available for VMWare, Hyper-V, VirtualBox and Parallels versions of the virtual machine, and they can all be downloaded directly </w:t>
      </w:r>
      <w:r>
        <w:rPr>
          <w:rFonts w:ascii="Arial" w:hAnsi="Arial" w:cs="Arial"/>
          <w:sz w:val="22"/>
          <w:szCs w:val="22"/>
        </w:rPr>
        <w:t>from Microsoft.</w:t>
      </w:r>
    </w:p>
    <w:p w14:paraId="2BC05D3C" w14:textId="77777777" w:rsidR="00D5198C" w:rsidRDefault="00D5198C">
      <w:pPr>
        <w:pStyle w:val="Standard"/>
        <w:rPr>
          <w:rFonts w:ascii="Arial" w:hAnsi="Arial" w:cs="Arial"/>
          <w:sz w:val="22"/>
          <w:szCs w:val="22"/>
        </w:rPr>
      </w:pPr>
    </w:p>
    <w:p w14:paraId="0DC59EEA" w14:textId="77777777" w:rsidR="00D5198C" w:rsidRDefault="00BA79C3">
      <w:pPr>
        <w:pStyle w:val="Standard"/>
        <w:rPr>
          <w:rFonts w:ascii="Arial" w:hAnsi="Arial" w:cs="Arial"/>
          <w:sz w:val="22"/>
          <w:szCs w:val="22"/>
        </w:rPr>
      </w:pPr>
      <w:r>
        <w:rPr>
          <w:rFonts w:ascii="Arial" w:hAnsi="Arial" w:cs="Arial"/>
          <w:sz w:val="22"/>
          <w:szCs w:val="22"/>
        </w:rPr>
        <w:t>Note that the title of the page incorrectly states, "get a Windows 10 development environment."</w:t>
      </w:r>
    </w:p>
    <w:p w14:paraId="716E41DC" w14:textId="77777777" w:rsidR="00D5198C" w:rsidRDefault="00BA79C3">
      <w:pPr>
        <w:pStyle w:val="Standard"/>
        <w:rPr>
          <w:rFonts w:ascii="Arial" w:hAnsi="Arial" w:cs="Arial"/>
          <w:sz w:val="22"/>
          <w:szCs w:val="22"/>
        </w:rPr>
      </w:pPr>
      <w:r>
        <w:rPr>
          <w:rFonts w:ascii="Arial" w:hAnsi="Arial" w:cs="Arial"/>
          <w:sz w:val="22"/>
          <w:szCs w:val="22"/>
        </w:rPr>
        <w:t>Windows 11</w:t>
      </w:r>
    </w:p>
    <w:p w14:paraId="2DE1805F" w14:textId="77777777" w:rsidR="00D5198C" w:rsidRDefault="00BA79C3">
      <w:pPr>
        <w:pStyle w:val="Standard"/>
        <w:rPr>
          <w:rFonts w:hint="eastAsia"/>
        </w:rPr>
      </w:pPr>
      <w:hyperlink r:id="rId17" w:history="1">
        <w:r>
          <w:rPr>
            <w:rFonts w:ascii="Arial" w:hAnsi="Arial" w:cs="Arial"/>
            <w:sz w:val="22"/>
            <w:szCs w:val="22"/>
          </w:rPr>
          <w:t>https://developer.microsoft.com/en-us/win</w:t>
        </w:r>
        <w:r>
          <w:rPr>
            <w:rFonts w:ascii="Arial" w:hAnsi="Arial" w:cs="Arial"/>
            <w:sz w:val="22"/>
            <w:szCs w:val="22"/>
          </w:rPr>
          <w:t>dows/downloads/virtual-machines/</w:t>
        </w:r>
      </w:hyperlink>
    </w:p>
    <w:p w14:paraId="3F068245" w14:textId="77777777" w:rsidR="00D5198C" w:rsidRDefault="00D5198C">
      <w:pPr>
        <w:pStyle w:val="Standard"/>
        <w:rPr>
          <w:rFonts w:ascii="Arial" w:hAnsi="Arial" w:cs="Arial"/>
          <w:sz w:val="22"/>
          <w:szCs w:val="22"/>
        </w:rPr>
      </w:pPr>
    </w:p>
    <w:sectPr w:rsidR="00D5198C">
      <w:pgSz w:w="11906" w:h="16838"/>
      <w:pgMar w:top="1134" w:right="1134" w:bottom="80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D6FE" w14:textId="77777777" w:rsidR="00BA79C3" w:rsidRDefault="00BA79C3">
      <w:pPr>
        <w:rPr>
          <w:rFonts w:hint="eastAsia"/>
        </w:rPr>
      </w:pPr>
      <w:r>
        <w:separator/>
      </w:r>
    </w:p>
  </w:endnote>
  <w:endnote w:type="continuationSeparator" w:id="0">
    <w:p w14:paraId="33183B77" w14:textId="77777777" w:rsidR="00BA79C3" w:rsidRDefault="00BA79C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OpenSymbol">
    <w:panose1 w:val="020B0604020202020204"/>
    <w:charset w:val="02"/>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C022B" w14:textId="77777777" w:rsidR="00BA79C3" w:rsidRDefault="00BA79C3">
      <w:pPr>
        <w:rPr>
          <w:rFonts w:hint="eastAsia"/>
        </w:rPr>
      </w:pPr>
      <w:r>
        <w:rPr>
          <w:color w:val="000000"/>
        </w:rPr>
        <w:separator/>
      </w:r>
    </w:p>
  </w:footnote>
  <w:footnote w:type="continuationSeparator" w:id="0">
    <w:p w14:paraId="0D531070" w14:textId="77777777" w:rsidR="00BA79C3" w:rsidRDefault="00BA79C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5198C"/>
    <w:rsid w:val="006A4022"/>
    <w:rsid w:val="00BA79C3"/>
    <w:rsid w:val="00D51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2E6120"/>
  <w15:docId w15:val="{E75084ED-1E24-1149-8DDE-C8701F9F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
    <w:uiPriority w:val="9"/>
    <w:qFormat/>
    <w:pPr>
      <w:outlineLvl w:val="0"/>
    </w:pPr>
    <w:rPr>
      <w:rFonts w:ascii="Liberation Serif" w:eastAsia="NSimSun" w:hAnsi="Liberation Serif"/>
      <w:b/>
      <w:bCs/>
      <w:sz w:val="48"/>
      <w:szCs w:val="48"/>
    </w:rPr>
  </w:style>
  <w:style w:type="paragraph" w:styleId="Heading2">
    <w:name w:val="heading 2"/>
    <w:basedOn w:val="Heading"/>
    <w:next w:val="Textbody"/>
    <w:uiPriority w:val="9"/>
    <w:unhideWhenUsed/>
    <w:qFormat/>
    <w:pPr>
      <w:spacing w:before="200"/>
      <w:outlineLvl w:val="1"/>
    </w:pPr>
    <w:rPr>
      <w:rFonts w:ascii="Liberation Serif" w:eastAsia="NSimSun" w:hAnsi="Liberation Serif"/>
      <w:b/>
      <w:bCs/>
      <w:sz w:val="36"/>
      <w:szCs w:val="36"/>
    </w:rPr>
  </w:style>
  <w:style w:type="paragraph" w:styleId="Heading3">
    <w:name w:val="heading 3"/>
    <w:basedOn w:val="Heading"/>
    <w:next w:val="Textbody"/>
    <w:uiPriority w:val="9"/>
    <w:unhideWhenUsed/>
    <w:qFormat/>
    <w:pPr>
      <w:spacing w:before="140"/>
      <w:outlineLvl w:val="2"/>
    </w:pPr>
    <w:rPr>
      <w:rFonts w:ascii="Liberation Serif" w:eastAsia="NSimSun" w:hAnsi="Liberation Serif"/>
      <w:b/>
      <w:bCs/>
    </w:rPr>
  </w:style>
  <w:style w:type="paragraph" w:styleId="Heading4">
    <w:name w:val="heading 4"/>
    <w:basedOn w:val="Heading"/>
    <w:next w:val="Textbody"/>
    <w:uiPriority w:val="9"/>
    <w:unhideWhenUsed/>
    <w:qFormat/>
    <w:pPr>
      <w:spacing w:before="120"/>
      <w:outlineLvl w:val="3"/>
    </w:pPr>
    <w:rPr>
      <w:rFonts w:ascii="Liberation Serif" w:eastAsia="NSimSun"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styleId="Emphasis">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sasig.com/calendar/event/21-12-01-awareness/" TargetMode="External"/><Relationship Id="rId13" Type="http://schemas.openxmlformats.org/officeDocument/2006/relationships/hyperlink" Target="https://www.fdic.gov/news/board-matters/2021/2021-11-17-notational-fr.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sasig.com/calendar/event/21-11-30-tabletop/" TargetMode="External"/><Relationship Id="rId12" Type="http://schemas.openxmlformats.org/officeDocument/2006/relationships/hyperlink" Target="https://www.elliptic.co/hubfs/Financial%20Crime%20Typologies%20in%20Cryptoassets%20Guides%20(All%20Assets)/Typologies_Concise%20Guide_12-20.pdf" TargetMode="External"/><Relationship Id="rId17" Type="http://schemas.openxmlformats.org/officeDocument/2006/relationships/hyperlink" Target="https://developer.microsoft.com/en-us/windows/downloads/virtual-machines/" TargetMode="External"/><Relationship Id="rId2" Type="http://schemas.openxmlformats.org/officeDocument/2006/relationships/settings" Target="settings.xml"/><Relationship Id="rId16" Type="http://schemas.openxmlformats.org/officeDocument/2006/relationships/hyperlink" Target="https://www.microsoft.com/security/blog/2021/11/11/html-smuggling-surges-highly-evasive-loader-technique-increasingly-used-in-banking-malware-targeted-attacks/" TargetMode="External"/><Relationship Id="rId1" Type="http://schemas.openxmlformats.org/officeDocument/2006/relationships/styles" Target="styles.xml"/><Relationship Id="rId6" Type="http://schemas.openxmlformats.org/officeDocument/2006/relationships/hyperlink" Target="https://www.thesasig.com/calendar/event/21-11-29-legal/" TargetMode="External"/><Relationship Id="rId11" Type="http://schemas.openxmlformats.org/officeDocument/2006/relationships/hyperlink" Target="https://www.brighttalk.com/webcast/13983/516249" TargetMode="External"/><Relationship Id="rId5" Type="http://schemas.openxmlformats.org/officeDocument/2006/relationships/endnotes" Target="endnotes.xml"/><Relationship Id="rId15" Type="http://schemas.openxmlformats.org/officeDocument/2006/relationships/hyperlink" Target="https://cyber.dhs.gov/bod/22-01/" TargetMode="External"/><Relationship Id="rId10" Type="http://schemas.openxmlformats.org/officeDocument/2006/relationships/hyperlink" Target="https://www.brighttalk.com/channel/13983/"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thesasig.com/calendar/event/21-12-03-cybercrime/" TargetMode="External"/><Relationship Id="rId14" Type="http://schemas.openxmlformats.org/officeDocument/2006/relationships/hyperlink" Target="https://www.cisa.gov/sites/default/files/publications/Federal_Government_Cybersecurity_Incident_and_Vulnerability_Response_Playbooks_508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6000</Characters>
  <Application>Microsoft Office Word</Application>
  <DocSecurity>0</DocSecurity>
  <Lines>50</Lines>
  <Paragraphs>14</Paragraphs>
  <ScaleCrop>false</ScaleCrop>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Allan Munn</cp:lastModifiedBy>
  <cp:revision>2</cp:revision>
  <dcterms:created xsi:type="dcterms:W3CDTF">2021-11-28T13:29:00Z</dcterms:created>
  <dcterms:modified xsi:type="dcterms:W3CDTF">2021-11-28T13:29:00Z</dcterms:modified>
</cp:coreProperties>
</file>