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806" w:rsidRPr="008B4806" w:rsidRDefault="008B4806" w:rsidP="004B30DC">
      <w:pPr>
        <w:spacing w:before="100" w:beforeAutospacing="1" w:after="100" w:afterAutospacing="1" w:line="240" w:lineRule="auto"/>
        <w:jc w:val="center"/>
        <w:outlineLvl w:val="1"/>
        <w:rPr>
          <w:rFonts w:ascii="Arial" w:eastAsia="Times New Roman" w:hAnsi="Arial" w:cs="Arial"/>
          <w:b/>
          <w:bCs/>
          <w:sz w:val="32"/>
          <w:szCs w:val="32"/>
        </w:rPr>
      </w:pPr>
      <w:r w:rsidRPr="00A44CC7">
        <w:rPr>
          <w:rFonts w:ascii="Arial" w:eastAsia="Times New Roman" w:hAnsi="Arial" w:cs="Arial"/>
          <w:b/>
          <w:bCs/>
          <w:sz w:val="32"/>
          <w:szCs w:val="32"/>
        </w:rPr>
        <w:t>S</w:t>
      </w:r>
      <w:r w:rsidRPr="008B4806">
        <w:rPr>
          <w:rFonts w:ascii="Arial" w:eastAsia="Times New Roman" w:hAnsi="Arial" w:cs="Arial"/>
          <w:b/>
          <w:bCs/>
          <w:sz w:val="32"/>
          <w:szCs w:val="32"/>
        </w:rPr>
        <w:t>ociety for Corporate Governance – CARB Meeting</w:t>
      </w:r>
    </w:p>
    <w:p w:rsidR="008B4806" w:rsidRPr="008B4806" w:rsidRDefault="008B4806" w:rsidP="003551CB">
      <w:pPr>
        <w:spacing w:before="100" w:beforeAutospacing="1" w:after="100" w:afterAutospacing="1" w:line="240" w:lineRule="auto"/>
        <w:jc w:val="center"/>
        <w:rPr>
          <w:rFonts w:ascii="Arial" w:eastAsia="Times New Roman" w:hAnsi="Arial" w:cs="Arial"/>
          <w:szCs w:val="24"/>
        </w:rPr>
      </w:pPr>
      <w:r w:rsidRPr="00A44CC7">
        <w:rPr>
          <w:rFonts w:ascii="Arial" w:eastAsia="Times New Roman" w:hAnsi="Arial" w:cs="Arial"/>
          <w:b/>
          <w:bCs/>
          <w:szCs w:val="24"/>
        </w:rPr>
        <w:t xml:space="preserve">Meeting </w:t>
      </w:r>
      <w:r w:rsidR="00D77D32">
        <w:rPr>
          <w:rFonts w:ascii="Arial" w:eastAsia="Times New Roman" w:hAnsi="Arial" w:cs="Arial"/>
          <w:b/>
          <w:bCs/>
          <w:szCs w:val="24"/>
        </w:rPr>
        <w:t>Summary</w:t>
      </w:r>
      <w:r w:rsidRPr="008B4806">
        <w:rPr>
          <w:rFonts w:ascii="Arial" w:eastAsia="Times New Roman" w:hAnsi="Arial" w:cs="Arial"/>
          <w:szCs w:val="24"/>
        </w:rPr>
        <w:br/>
      </w:r>
      <w:r w:rsidRPr="00A44CC7">
        <w:rPr>
          <w:rFonts w:ascii="Arial" w:eastAsia="Times New Roman" w:hAnsi="Arial" w:cs="Arial"/>
          <w:b/>
          <w:bCs/>
          <w:szCs w:val="24"/>
        </w:rPr>
        <w:t>January 28, 2026</w:t>
      </w:r>
    </w:p>
    <w:p w:rsidR="008B4806" w:rsidRPr="008B4806" w:rsidRDefault="008B4806" w:rsidP="008B4806">
      <w:p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Thank you to CARB staff and meeting participants for a constructive and candid discussion regarding implementation of California’s climate disclosure requirements under SB 253.</w:t>
      </w:r>
    </w:p>
    <w:p w:rsidR="008B4806" w:rsidRPr="008B4806" w:rsidRDefault="008B4806" w:rsidP="008B4806">
      <w:pPr>
        <w:spacing w:before="100" w:beforeAutospacing="1" w:after="100" w:afterAutospacing="1" w:line="240" w:lineRule="auto"/>
        <w:outlineLvl w:val="2"/>
        <w:rPr>
          <w:rFonts w:ascii="Arial" w:eastAsia="Times New Roman" w:hAnsi="Arial" w:cs="Arial"/>
          <w:b/>
          <w:bCs/>
          <w:sz w:val="20"/>
          <w:szCs w:val="20"/>
        </w:rPr>
      </w:pPr>
      <w:r w:rsidRPr="008B4806">
        <w:rPr>
          <w:rFonts w:ascii="Arial" w:eastAsia="Times New Roman" w:hAnsi="Arial" w:cs="Arial"/>
          <w:b/>
          <w:bCs/>
          <w:sz w:val="20"/>
          <w:szCs w:val="20"/>
        </w:rPr>
        <w:t>Participants</w:t>
      </w:r>
    </w:p>
    <w:p w:rsidR="008B4806" w:rsidRPr="008B4806" w:rsidRDefault="008B4806" w:rsidP="008B4806">
      <w:p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b/>
          <w:bCs/>
          <w:sz w:val="20"/>
          <w:szCs w:val="20"/>
        </w:rPr>
        <w:t>CARB:</w:t>
      </w:r>
    </w:p>
    <w:p w:rsidR="008B4806" w:rsidRPr="008B4806" w:rsidRDefault="008B4806" w:rsidP="008B4806">
      <w:pPr>
        <w:numPr>
          <w:ilvl w:val="0"/>
          <w:numId w:val="1"/>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Syd Vergis, Assistant Division Chief, Industrial Strategies Division</w:t>
      </w:r>
    </w:p>
    <w:p w:rsidR="008B4806" w:rsidRPr="008B4806" w:rsidRDefault="008B4806" w:rsidP="008B4806">
      <w:pPr>
        <w:numPr>
          <w:ilvl w:val="0"/>
          <w:numId w:val="1"/>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Jordan Ramalingam, Branch Chief, Climate Data &amp; Risk Reporting Branch</w:t>
      </w:r>
    </w:p>
    <w:p w:rsidR="008B4806" w:rsidRPr="008B4806" w:rsidRDefault="008B4806" w:rsidP="008B4806">
      <w:p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b/>
          <w:bCs/>
          <w:sz w:val="20"/>
          <w:szCs w:val="20"/>
        </w:rPr>
        <w:t>Society for Corporate Governance (Representatives):</w:t>
      </w:r>
    </w:p>
    <w:p w:rsidR="003551CB" w:rsidRPr="008B4806" w:rsidRDefault="003551CB" w:rsidP="008B4806">
      <w:pPr>
        <w:numPr>
          <w:ilvl w:val="0"/>
          <w:numId w:val="2"/>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Andrew Lembeck-Edens, Strategy and Sustainability Senior Advisor, Edison International</w:t>
      </w:r>
    </w:p>
    <w:p w:rsidR="003551CB" w:rsidRPr="008B4806" w:rsidRDefault="003551CB" w:rsidP="008B4806">
      <w:pPr>
        <w:numPr>
          <w:ilvl w:val="0"/>
          <w:numId w:val="2"/>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Cassie Pemberton, Senior Corporate Counsel – Environmental Sustainability, Microsoft</w:t>
      </w:r>
    </w:p>
    <w:p w:rsidR="003551CB" w:rsidRPr="008B4806" w:rsidRDefault="003551CB" w:rsidP="008B4806">
      <w:pPr>
        <w:numPr>
          <w:ilvl w:val="0"/>
          <w:numId w:val="2"/>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Corinne Martin, Assistant General Counsel – Sustainability, The Home Depot</w:t>
      </w:r>
    </w:p>
    <w:p w:rsidR="003551CB" w:rsidRPr="008B4806" w:rsidRDefault="003551CB" w:rsidP="008B4806">
      <w:pPr>
        <w:numPr>
          <w:ilvl w:val="0"/>
          <w:numId w:val="2"/>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Julie Rizzo, Partner, K&amp;L Gates</w:t>
      </w:r>
    </w:p>
    <w:p w:rsidR="003551CB" w:rsidRPr="008B4806" w:rsidRDefault="003551CB" w:rsidP="008B4806">
      <w:pPr>
        <w:numPr>
          <w:ilvl w:val="0"/>
          <w:numId w:val="2"/>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June Hu, Special Counsel, Sullivan &amp; Cromwell</w:t>
      </w:r>
    </w:p>
    <w:p w:rsidR="003551CB" w:rsidRDefault="003551CB" w:rsidP="008B4806">
      <w:pPr>
        <w:numPr>
          <w:ilvl w:val="0"/>
          <w:numId w:val="2"/>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Mary Wheeler, Senior Vice President, Assistant General Counsel, Regions Financial</w:t>
      </w:r>
    </w:p>
    <w:p w:rsidR="000941C3" w:rsidRPr="008B4806" w:rsidRDefault="000941C3" w:rsidP="008B4806">
      <w:pPr>
        <w:numPr>
          <w:ilvl w:val="0"/>
          <w:numId w:val="2"/>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Randi Morrison, General Counsel &amp; Chief Knowledge Officer, Society for Corporate Governance</w:t>
      </w:r>
    </w:p>
    <w:p w:rsidR="008B4806" w:rsidRPr="008B4806" w:rsidRDefault="008B4806" w:rsidP="008B4806">
      <w:pPr>
        <w:spacing w:after="0" w:line="240" w:lineRule="auto"/>
        <w:rPr>
          <w:rFonts w:ascii="Arial" w:eastAsia="Times New Roman" w:hAnsi="Arial" w:cs="Arial"/>
          <w:sz w:val="20"/>
          <w:szCs w:val="20"/>
        </w:rPr>
      </w:pPr>
      <w:r w:rsidRPr="008B4806">
        <w:rPr>
          <w:rFonts w:ascii="Arial" w:eastAsia="Times New Roman" w:hAnsi="Arial" w:cs="Arial"/>
          <w:sz w:val="20"/>
          <w:szCs w:val="20"/>
        </w:rPr>
        <w:pict>
          <v:rect id="_x0000_i1025" style="width:0;height:1.5pt" o:hralign="center" o:hrstd="t" o:hr="t" fillcolor="#a0a0a0" stroked="f"/>
        </w:pict>
      </w:r>
    </w:p>
    <w:p w:rsidR="008B4806" w:rsidRPr="008B4806" w:rsidRDefault="008B4806" w:rsidP="008B4806">
      <w:pPr>
        <w:spacing w:before="100" w:beforeAutospacing="1" w:after="100" w:afterAutospacing="1" w:line="240" w:lineRule="auto"/>
        <w:outlineLvl w:val="1"/>
        <w:rPr>
          <w:rFonts w:ascii="Arial" w:eastAsia="Times New Roman" w:hAnsi="Arial" w:cs="Arial"/>
          <w:b/>
          <w:bCs/>
          <w:sz w:val="20"/>
          <w:szCs w:val="20"/>
        </w:rPr>
      </w:pPr>
      <w:r w:rsidRPr="008B4806">
        <w:rPr>
          <w:rFonts w:ascii="Arial" w:eastAsia="Times New Roman" w:hAnsi="Arial" w:cs="Arial"/>
          <w:b/>
          <w:bCs/>
          <w:sz w:val="20"/>
          <w:szCs w:val="20"/>
        </w:rPr>
        <w:t>Key Discussion Themes and Takeaways</w:t>
      </w:r>
    </w:p>
    <w:p w:rsidR="008B4806" w:rsidRPr="008B4806" w:rsidRDefault="008B4806" w:rsidP="008B4806">
      <w:pPr>
        <w:spacing w:before="100" w:beforeAutospacing="1" w:after="100" w:afterAutospacing="1" w:line="240" w:lineRule="auto"/>
        <w:outlineLvl w:val="2"/>
        <w:rPr>
          <w:rFonts w:ascii="Arial" w:eastAsia="Times New Roman" w:hAnsi="Arial" w:cs="Arial"/>
          <w:b/>
          <w:bCs/>
          <w:sz w:val="20"/>
          <w:szCs w:val="20"/>
        </w:rPr>
      </w:pPr>
      <w:r w:rsidRPr="008B4806">
        <w:rPr>
          <w:rFonts w:ascii="Arial" w:eastAsia="Times New Roman" w:hAnsi="Arial" w:cs="Arial"/>
          <w:b/>
          <w:bCs/>
          <w:sz w:val="20"/>
          <w:szCs w:val="20"/>
        </w:rPr>
        <w:t>1. Shared Support for Policy Objectives</w:t>
      </w:r>
    </w:p>
    <w:p w:rsidR="008B4806" w:rsidRPr="008B4806" w:rsidRDefault="008B4806" w:rsidP="008B4806">
      <w:p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Society representatives reiterated support for the aims of California’s climate disclosure laws and the importance of implementing regulations that are workable, aligned with established corporate reporting practices, and capable of being complied with fully and accurately without creating unnecessary legal, reputational, or operational risk.</w:t>
      </w:r>
    </w:p>
    <w:p w:rsidR="008B4806" w:rsidRPr="008B4806" w:rsidRDefault="008B4806" w:rsidP="008B4806">
      <w:pPr>
        <w:spacing w:before="100" w:beforeAutospacing="1" w:after="100" w:afterAutospacing="1" w:line="240" w:lineRule="auto"/>
        <w:outlineLvl w:val="2"/>
        <w:rPr>
          <w:rFonts w:ascii="Arial" w:eastAsia="Times New Roman" w:hAnsi="Arial" w:cs="Arial"/>
          <w:b/>
          <w:bCs/>
          <w:sz w:val="20"/>
          <w:szCs w:val="20"/>
        </w:rPr>
      </w:pPr>
      <w:r w:rsidRPr="008B4806">
        <w:rPr>
          <w:rFonts w:ascii="Arial" w:eastAsia="Times New Roman" w:hAnsi="Arial" w:cs="Arial"/>
          <w:b/>
          <w:bCs/>
          <w:sz w:val="20"/>
          <w:szCs w:val="20"/>
        </w:rPr>
        <w:t>2. SB 253 Reporting Timing and the August 10, 2026 Deadline</w:t>
      </w:r>
    </w:p>
    <w:p w:rsidR="00E54E0B" w:rsidRDefault="008B4806" w:rsidP="008B4806">
      <w:p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 xml:space="preserve">A central focus of the discussion was the proposed </w:t>
      </w:r>
      <w:r w:rsidRPr="00A44CC7">
        <w:rPr>
          <w:rFonts w:ascii="Arial" w:eastAsia="Times New Roman" w:hAnsi="Arial" w:cs="Arial"/>
          <w:bCs/>
          <w:sz w:val="20"/>
          <w:szCs w:val="20"/>
        </w:rPr>
        <w:t>August 10, 2026</w:t>
      </w:r>
      <w:r w:rsidR="00A44CC7" w:rsidRPr="00A44CC7">
        <w:rPr>
          <w:rFonts w:ascii="Arial" w:eastAsia="Times New Roman" w:hAnsi="Arial" w:cs="Arial"/>
          <w:bCs/>
          <w:sz w:val="20"/>
          <w:szCs w:val="20"/>
        </w:rPr>
        <w:t>,</w:t>
      </w:r>
      <w:r w:rsidRPr="00A44CC7">
        <w:rPr>
          <w:rFonts w:ascii="Arial" w:eastAsia="Times New Roman" w:hAnsi="Arial" w:cs="Arial"/>
          <w:bCs/>
          <w:sz w:val="20"/>
          <w:szCs w:val="20"/>
        </w:rPr>
        <w:t xml:space="preserve"> SB 253 reporting deadline</w:t>
      </w:r>
      <w:r w:rsidRPr="008B4806">
        <w:rPr>
          <w:rFonts w:ascii="Arial" w:eastAsia="Times New Roman" w:hAnsi="Arial" w:cs="Arial"/>
          <w:sz w:val="20"/>
          <w:szCs w:val="20"/>
        </w:rPr>
        <w:t>, including its applicability both to initial reporting and to future reporting cycles</w:t>
      </w:r>
      <w:r w:rsidR="00A44CC7">
        <w:rPr>
          <w:rFonts w:ascii="Arial" w:eastAsia="Times New Roman" w:hAnsi="Arial" w:cs="Arial"/>
          <w:sz w:val="20"/>
          <w:szCs w:val="20"/>
        </w:rPr>
        <w:t xml:space="preserve"> based on the six-month post FYE timeline</w:t>
      </w:r>
      <w:r w:rsidR="00E54E0B">
        <w:rPr>
          <w:rFonts w:ascii="Arial" w:eastAsia="Times New Roman" w:hAnsi="Arial" w:cs="Arial"/>
          <w:sz w:val="20"/>
          <w:szCs w:val="20"/>
        </w:rPr>
        <w:t xml:space="preserve"> </w:t>
      </w:r>
      <w:r w:rsidR="00A44CC7">
        <w:rPr>
          <w:rFonts w:ascii="Arial" w:eastAsia="Times New Roman" w:hAnsi="Arial" w:cs="Arial"/>
          <w:sz w:val="20"/>
          <w:szCs w:val="20"/>
        </w:rPr>
        <w:t>outlined in the Staff Report accompanying the Initial Regulation</w:t>
      </w:r>
      <w:r w:rsidRPr="008B4806">
        <w:rPr>
          <w:rFonts w:ascii="Arial" w:eastAsia="Times New Roman" w:hAnsi="Arial" w:cs="Arial"/>
          <w:sz w:val="20"/>
          <w:szCs w:val="20"/>
        </w:rPr>
        <w:t>.</w:t>
      </w:r>
      <w:r w:rsidR="00E54E0B">
        <w:rPr>
          <w:rFonts w:ascii="Arial" w:eastAsia="Times New Roman" w:hAnsi="Arial" w:cs="Arial"/>
          <w:sz w:val="20"/>
          <w:szCs w:val="20"/>
        </w:rPr>
        <w:t xml:space="preserve"> </w:t>
      </w:r>
    </w:p>
    <w:p w:rsidR="008B4806" w:rsidRPr="008B4806" w:rsidRDefault="004B30DC" w:rsidP="004B30DC">
      <w:pPr>
        <w:spacing w:before="100" w:beforeAutospacing="1" w:after="100" w:afterAutospacing="1" w:line="240" w:lineRule="auto"/>
        <w:rPr>
          <w:rFonts w:ascii="Arial" w:eastAsia="Times New Roman" w:hAnsi="Arial" w:cs="Arial"/>
          <w:sz w:val="20"/>
          <w:szCs w:val="20"/>
        </w:rPr>
      </w:pPr>
      <w:r w:rsidRPr="004B30DC">
        <w:rPr>
          <w:rFonts w:ascii="Arial" w:hAnsi="Arial" w:cs="Arial"/>
          <w:sz w:val="20"/>
          <w:szCs w:val="20"/>
        </w:rPr>
        <w:t>While the Initial Regulation permits companies whose fiscal year ends after February 1 in a calendar year to report emissions data for their fiscal year ending in the previous calendar year, based on the ~six-month reporting timeline applicable to companies whose fiscal year ends on or before February 1 in a calendar year</w:t>
      </w:r>
      <w:r>
        <w:rPr>
          <w:rFonts w:ascii="Arial" w:hAnsi="Arial" w:cs="Arial"/>
          <w:sz w:val="20"/>
          <w:szCs w:val="20"/>
        </w:rPr>
        <w:t>,</w:t>
      </w:r>
      <w:r w:rsidRPr="004B30DC">
        <w:rPr>
          <w:rFonts w:ascii="Arial" w:hAnsi="Arial" w:cs="Arial"/>
          <w:sz w:val="20"/>
          <w:szCs w:val="20"/>
        </w:rPr>
        <w:t xml:space="preserve"> and the implication in the Staff Report that six mon</w:t>
      </w:r>
      <w:r>
        <w:rPr>
          <w:rFonts w:ascii="Arial" w:hAnsi="Arial" w:cs="Arial"/>
          <w:sz w:val="20"/>
          <w:szCs w:val="20"/>
        </w:rPr>
        <w:t>ths of time between fiscal year</w:t>
      </w:r>
      <w:r w:rsidR="003551CB">
        <w:rPr>
          <w:rFonts w:ascii="Arial" w:hAnsi="Arial" w:cs="Arial"/>
          <w:sz w:val="20"/>
          <w:szCs w:val="20"/>
        </w:rPr>
        <w:t>-</w:t>
      </w:r>
      <w:r w:rsidRPr="004B30DC">
        <w:rPr>
          <w:rFonts w:ascii="Arial" w:hAnsi="Arial" w:cs="Arial"/>
          <w:sz w:val="20"/>
          <w:szCs w:val="20"/>
        </w:rPr>
        <w:t>end and the proposed reporting deadline is adequate,</w:t>
      </w:r>
      <w:r w:rsidR="002C6757">
        <w:rPr>
          <w:rStyle w:val="FootnoteReference"/>
          <w:rFonts w:ascii="Arial" w:hAnsi="Arial" w:cs="Arial"/>
          <w:sz w:val="20"/>
          <w:szCs w:val="20"/>
        </w:rPr>
        <w:footnoteReference w:id="1"/>
      </w:r>
      <w:r w:rsidRPr="004B30DC">
        <w:rPr>
          <w:rFonts w:ascii="Arial" w:hAnsi="Arial" w:cs="Arial"/>
          <w:sz w:val="20"/>
          <w:szCs w:val="20"/>
        </w:rPr>
        <w:t xml:space="preserve"> the discussion focused on the time it takes companies to </w:t>
      </w:r>
      <w:r w:rsidRPr="004B30DC">
        <w:rPr>
          <w:rFonts w:ascii="Arial" w:hAnsi="Arial" w:cs="Arial"/>
          <w:sz w:val="20"/>
          <w:szCs w:val="20"/>
        </w:rPr>
        <w:lastRenderedPageBreak/>
        <w:t xml:space="preserve">publicly report their emissions data in a regulatory filing </w:t>
      </w:r>
      <w:r w:rsidR="003551CB">
        <w:rPr>
          <w:rFonts w:ascii="Arial" w:hAnsi="Arial" w:cs="Arial"/>
          <w:sz w:val="20"/>
          <w:szCs w:val="20"/>
        </w:rPr>
        <w:t>regardless of their fiscal year-</w:t>
      </w:r>
      <w:r w:rsidRPr="004B30DC">
        <w:rPr>
          <w:rFonts w:ascii="Arial" w:hAnsi="Arial" w:cs="Arial"/>
          <w:sz w:val="20"/>
          <w:szCs w:val="20"/>
        </w:rPr>
        <w:t xml:space="preserve">end due to the implications for certain companies in 2026 that would be subject to a ~six-month reporting deadline and </w:t>
      </w:r>
      <w:r>
        <w:rPr>
          <w:rFonts w:ascii="Arial" w:hAnsi="Arial" w:cs="Arial"/>
          <w:sz w:val="20"/>
          <w:szCs w:val="20"/>
        </w:rPr>
        <w:t xml:space="preserve">the implications for </w:t>
      </w:r>
      <w:r w:rsidRPr="004B30DC">
        <w:rPr>
          <w:rFonts w:ascii="Arial" w:hAnsi="Arial" w:cs="Arial"/>
          <w:sz w:val="20"/>
          <w:szCs w:val="20"/>
        </w:rPr>
        <w:t xml:space="preserve">all reporting companies after the first reporting year.     </w:t>
      </w:r>
      <w:r w:rsidR="006F676F">
        <w:rPr>
          <w:rFonts w:ascii="Arial" w:eastAsia="Times New Roman" w:hAnsi="Arial" w:cs="Arial"/>
          <w:sz w:val="20"/>
          <w:szCs w:val="20"/>
        </w:rPr>
        <w:t xml:space="preserve"> </w:t>
      </w:r>
      <w:r w:rsidR="00E54E0B">
        <w:rPr>
          <w:rFonts w:ascii="Arial" w:eastAsia="Times New Roman" w:hAnsi="Arial" w:cs="Arial"/>
          <w:sz w:val="20"/>
          <w:szCs w:val="20"/>
        </w:rPr>
        <w:t xml:space="preserve">   </w:t>
      </w:r>
    </w:p>
    <w:p w:rsidR="008B4806" w:rsidRPr="008B4806" w:rsidRDefault="008B4806" w:rsidP="008B4806">
      <w:p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Key points discussed:</w:t>
      </w:r>
    </w:p>
    <w:p w:rsidR="008B4806" w:rsidRPr="008B4806" w:rsidRDefault="008B4806" w:rsidP="008B4806">
      <w:pPr>
        <w:numPr>
          <w:ilvl w:val="0"/>
          <w:numId w:val="3"/>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 xml:space="preserve">Many companies — including mature GHG reporters — require </w:t>
      </w:r>
      <w:r w:rsidRPr="00A44CC7">
        <w:rPr>
          <w:rFonts w:ascii="Arial" w:eastAsia="Times New Roman" w:hAnsi="Arial" w:cs="Arial"/>
          <w:bCs/>
          <w:sz w:val="20"/>
          <w:szCs w:val="20"/>
        </w:rPr>
        <w:t>more than six months after fiscal year-end</w:t>
      </w:r>
      <w:r w:rsidRPr="008B4806">
        <w:rPr>
          <w:rFonts w:ascii="Arial" w:eastAsia="Times New Roman" w:hAnsi="Arial" w:cs="Arial"/>
          <w:sz w:val="20"/>
          <w:szCs w:val="20"/>
        </w:rPr>
        <w:t xml:space="preserve"> to finalize Scope 1 and Scope 2 emissions data suitable for </w:t>
      </w:r>
      <w:r w:rsidR="003551CB">
        <w:rPr>
          <w:rFonts w:ascii="Arial" w:eastAsia="Times New Roman" w:hAnsi="Arial" w:cs="Arial"/>
          <w:sz w:val="20"/>
          <w:szCs w:val="20"/>
        </w:rPr>
        <w:t xml:space="preserve">inclusion in </w:t>
      </w:r>
      <w:r w:rsidR="00A44CC7">
        <w:rPr>
          <w:rFonts w:ascii="Arial" w:eastAsia="Times New Roman" w:hAnsi="Arial" w:cs="Arial"/>
          <w:sz w:val="20"/>
          <w:szCs w:val="20"/>
        </w:rPr>
        <w:t xml:space="preserve">a </w:t>
      </w:r>
      <w:r w:rsidRPr="008B4806">
        <w:rPr>
          <w:rFonts w:ascii="Arial" w:eastAsia="Times New Roman" w:hAnsi="Arial" w:cs="Arial"/>
          <w:sz w:val="20"/>
          <w:szCs w:val="20"/>
        </w:rPr>
        <w:t>regulatory filing.</w:t>
      </w:r>
    </w:p>
    <w:p w:rsidR="008B4806" w:rsidRPr="008B4806" w:rsidRDefault="008B4806" w:rsidP="008B4806">
      <w:pPr>
        <w:numPr>
          <w:ilvl w:val="0"/>
          <w:numId w:val="3"/>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Current reporting timelines reflect:</w:t>
      </w:r>
    </w:p>
    <w:p w:rsidR="008B4806" w:rsidRPr="008B4806" w:rsidRDefault="008B4806" w:rsidP="008B4806">
      <w:pPr>
        <w:numPr>
          <w:ilvl w:val="1"/>
          <w:numId w:val="3"/>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 xml:space="preserve">Data collection and validation across </w:t>
      </w:r>
      <w:r w:rsidR="003551CB">
        <w:rPr>
          <w:rFonts w:ascii="Arial" w:eastAsia="Times New Roman" w:hAnsi="Arial" w:cs="Arial"/>
          <w:sz w:val="20"/>
          <w:szCs w:val="20"/>
        </w:rPr>
        <w:t xml:space="preserve">often </w:t>
      </w:r>
      <w:r w:rsidRPr="008B4806">
        <w:rPr>
          <w:rFonts w:ascii="Arial" w:eastAsia="Times New Roman" w:hAnsi="Arial" w:cs="Arial"/>
          <w:sz w:val="20"/>
          <w:szCs w:val="20"/>
        </w:rPr>
        <w:t>complex</w:t>
      </w:r>
      <w:r w:rsidR="003551CB">
        <w:rPr>
          <w:rFonts w:ascii="Arial" w:eastAsia="Times New Roman" w:hAnsi="Arial" w:cs="Arial"/>
          <w:sz w:val="20"/>
          <w:szCs w:val="20"/>
        </w:rPr>
        <w:t>,</w:t>
      </w:r>
      <w:r w:rsidRPr="008B4806">
        <w:rPr>
          <w:rFonts w:ascii="Arial" w:eastAsia="Times New Roman" w:hAnsi="Arial" w:cs="Arial"/>
          <w:sz w:val="20"/>
          <w:szCs w:val="20"/>
        </w:rPr>
        <w:t xml:space="preserve"> global operations</w:t>
      </w:r>
    </w:p>
    <w:p w:rsidR="008B4806" w:rsidRPr="008B4806" w:rsidRDefault="008B4806" w:rsidP="008B4806">
      <w:pPr>
        <w:numPr>
          <w:ilvl w:val="1"/>
          <w:numId w:val="3"/>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Internal controls and governance processes</w:t>
      </w:r>
    </w:p>
    <w:p w:rsidR="008B4806" w:rsidRPr="008B4806" w:rsidRDefault="00A44CC7" w:rsidP="008B4806">
      <w:pPr>
        <w:numPr>
          <w:ilvl w:val="1"/>
          <w:numId w:val="3"/>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Management </w:t>
      </w:r>
      <w:r w:rsidR="008B4806" w:rsidRPr="008B4806">
        <w:rPr>
          <w:rFonts w:ascii="Arial" w:eastAsia="Times New Roman" w:hAnsi="Arial" w:cs="Arial"/>
          <w:sz w:val="20"/>
          <w:szCs w:val="20"/>
        </w:rPr>
        <w:t>review and approval</w:t>
      </w:r>
      <w:r>
        <w:rPr>
          <w:rFonts w:ascii="Arial" w:eastAsia="Times New Roman" w:hAnsi="Arial" w:cs="Arial"/>
          <w:sz w:val="20"/>
          <w:szCs w:val="20"/>
        </w:rPr>
        <w:t xml:space="preserve"> and other internal governance processes (e.g., board of directors engagement/oversight)</w:t>
      </w:r>
    </w:p>
    <w:p w:rsidR="008B4806" w:rsidRPr="008B4806" w:rsidRDefault="008B4806" w:rsidP="008B4806">
      <w:pPr>
        <w:numPr>
          <w:ilvl w:val="1"/>
          <w:numId w:val="3"/>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Alignment with other mandatory and voluntary disclosures</w:t>
      </w:r>
    </w:p>
    <w:p w:rsidR="008B4806" w:rsidRPr="008B4806" w:rsidRDefault="00A44CC7" w:rsidP="008B4806">
      <w:pPr>
        <w:numPr>
          <w:ilvl w:val="0"/>
          <w:numId w:val="3"/>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Current</w:t>
      </w:r>
      <w:r w:rsidR="008B4806" w:rsidRPr="008B4806">
        <w:rPr>
          <w:rFonts w:ascii="Arial" w:eastAsia="Times New Roman" w:hAnsi="Arial" w:cs="Arial"/>
          <w:sz w:val="20"/>
          <w:szCs w:val="20"/>
        </w:rPr>
        <w:t xml:space="preserve"> Society survey data indicates that a majority of companies would not be able to comfortably submit SB 253-compliant Scope 1 and Scope 2 data </w:t>
      </w:r>
      <w:r>
        <w:rPr>
          <w:rFonts w:ascii="Arial" w:eastAsia="Times New Roman" w:hAnsi="Arial" w:cs="Arial"/>
          <w:sz w:val="20"/>
          <w:szCs w:val="20"/>
        </w:rPr>
        <w:t xml:space="preserve">in a regulatory filing </w:t>
      </w:r>
      <w:r w:rsidR="008B4806" w:rsidRPr="008B4806">
        <w:rPr>
          <w:rFonts w:ascii="Arial" w:eastAsia="Times New Roman" w:hAnsi="Arial" w:cs="Arial"/>
          <w:sz w:val="20"/>
          <w:szCs w:val="20"/>
        </w:rPr>
        <w:t xml:space="preserve">within six months of </w:t>
      </w:r>
      <w:r>
        <w:rPr>
          <w:rFonts w:ascii="Arial" w:eastAsia="Times New Roman" w:hAnsi="Arial" w:cs="Arial"/>
          <w:sz w:val="20"/>
          <w:szCs w:val="20"/>
        </w:rPr>
        <w:t xml:space="preserve">their </w:t>
      </w:r>
      <w:r w:rsidR="008B4806" w:rsidRPr="008B4806">
        <w:rPr>
          <w:rFonts w:ascii="Arial" w:eastAsia="Times New Roman" w:hAnsi="Arial" w:cs="Arial"/>
          <w:sz w:val="20"/>
          <w:szCs w:val="20"/>
        </w:rPr>
        <w:t>fiscal year-end</w:t>
      </w:r>
      <w:r>
        <w:rPr>
          <w:rFonts w:ascii="Arial" w:eastAsia="Times New Roman" w:hAnsi="Arial" w:cs="Arial"/>
          <w:sz w:val="20"/>
          <w:szCs w:val="20"/>
        </w:rPr>
        <w:t>s</w:t>
      </w:r>
      <w:r w:rsidR="008B4806" w:rsidRPr="008B4806">
        <w:rPr>
          <w:rFonts w:ascii="Arial" w:eastAsia="Times New Roman" w:hAnsi="Arial" w:cs="Arial"/>
          <w:sz w:val="20"/>
          <w:szCs w:val="20"/>
        </w:rPr>
        <w:t>.</w:t>
      </w:r>
    </w:p>
    <w:p w:rsidR="008B4806" w:rsidRPr="008B4806" w:rsidRDefault="008B4806" w:rsidP="008B4806">
      <w:pPr>
        <w:spacing w:before="100" w:beforeAutospacing="1" w:after="100" w:afterAutospacing="1" w:line="240" w:lineRule="auto"/>
        <w:outlineLvl w:val="2"/>
        <w:rPr>
          <w:rFonts w:ascii="Arial" w:eastAsia="Times New Roman" w:hAnsi="Arial" w:cs="Arial"/>
          <w:b/>
          <w:bCs/>
          <w:sz w:val="20"/>
          <w:szCs w:val="20"/>
        </w:rPr>
      </w:pPr>
      <w:r w:rsidRPr="008B4806">
        <w:rPr>
          <w:rFonts w:ascii="Arial" w:eastAsia="Times New Roman" w:hAnsi="Arial" w:cs="Arial"/>
          <w:b/>
          <w:bCs/>
          <w:sz w:val="20"/>
          <w:szCs w:val="20"/>
        </w:rPr>
        <w:t xml:space="preserve">3. Distinction </w:t>
      </w:r>
      <w:proofErr w:type="gramStart"/>
      <w:r w:rsidRPr="008B4806">
        <w:rPr>
          <w:rFonts w:ascii="Arial" w:eastAsia="Times New Roman" w:hAnsi="Arial" w:cs="Arial"/>
          <w:b/>
          <w:bCs/>
          <w:sz w:val="20"/>
          <w:szCs w:val="20"/>
        </w:rPr>
        <w:t>Between</w:t>
      </w:r>
      <w:proofErr w:type="gramEnd"/>
      <w:r w:rsidRPr="008B4806">
        <w:rPr>
          <w:rFonts w:ascii="Arial" w:eastAsia="Times New Roman" w:hAnsi="Arial" w:cs="Arial"/>
          <w:b/>
          <w:bCs/>
          <w:sz w:val="20"/>
          <w:szCs w:val="20"/>
        </w:rPr>
        <w:t xml:space="preserve"> MRR Deadlines and SB 253 Reporting</w:t>
      </w:r>
    </w:p>
    <w:p w:rsidR="008B4806" w:rsidRPr="008B4806" w:rsidRDefault="008B4806" w:rsidP="008B4806">
      <w:p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 xml:space="preserve">Participants discussed the </w:t>
      </w:r>
      <w:r w:rsidRPr="00A44CC7">
        <w:rPr>
          <w:rFonts w:ascii="Arial" w:eastAsia="Times New Roman" w:hAnsi="Arial" w:cs="Arial"/>
          <w:bCs/>
          <w:sz w:val="20"/>
          <w:szCs w:val="20"/>
        </w:rPr>
        <w:t>important distinction between MRR program verification timelines and SB 253 reporting requirements</w:t>
      </w:r>
      <w:r w:rsidRPr="008B4806">
        <w:rPr>
          <w:rFonts w:ascii="Arial" w:eastAsia="Times New Roman" w:hAnsi="Arial" w:cs="Arial"/>
          <w:sz w:val="20"/>
          <w:szCs w:val="20"/>
        </w:rPr>
        <w:t>:</w:t>
      </w:r>
    </w:p>
    <w:p w:rsidR="008B4806" w:rsidRPr="008B4806" w:rsidRDefault="008B4806" w:rsidP="008B4806">
      <w:pPr>
        <w:numPr>
          <w:ilvl w:val="0"/>
          <w:numId w:val="4"/>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MRR verification deadlines are designed for a different regulatory purpose and reporting structure.</w:t>
      </w:r>
    </w:p>
    <w:p w:rsidR="008B4806" w:rsidRPr="008B4806" w:rsidRDefault="008B4806" w:rsidP="008B4806">
      <w:pPr>
        <w:numPr>
          <w:ilvl w:val="0"/>
          <w:numId w:val="4"/>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Applying the MRR verification deadline as a proxy for SB 253 reporting does not reflect the broader scope, governance, and assurance processes required for company-wide emissions disclosures under SB 253.</w:t>
      </w:r>
    </w:p>
    <w:p w:rsidR="008B4806" w:rsidRPr="008B4806" w:rsidRDefault="008B4806" w:rsidP="008B4806">
      <w:pPr>
        <w:numPr>
          <w:ilvl w:val="0"/>
          <w:numId w:val="4"/>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Using the MRR deadline as the SB 253 filing date creates misalignment with how companies actually prepare, review, and finalize GHG emissions disclosures.</w:t>
      </w:r>
    </w:p>
    <w:p w:rsidR="008B4806" w:rsidRPr="008B4806" w:rsidRDefault="008B4806" w:rsidP="008B4806">
      <w:pPr>
        <w:spacing w:before="100" w:beforeAutospacing="1" w:after="100" w:afterAutospacing="1" w:line="240" w:lineRule="auto"/>
        <w:outlineLvl w:val="2"/>
        <w:rPr>
          <w:rFonts w:ascii="Arial" w:eastAsia="Times New Roman" w:hAnsi="Arial" w:cs="Arial"/>
          <w:b/>
          <w:bCs/>
          <w:sz w:val="20"/>
          <w:szCs w:val="20"/>
        </w:rPr>
      </w:pPr>
      <w:r w:rsidRPr="008B4806">
        <w:rPr>
          <w:rFonts w:ascii="Arial" w:eastAsia="Times New Roman" w:hAnsi="Arial" w:cs="Arial"/>
          <w:b/>
          <w:bCs/>
          <w:sz w:val="20"/>
          <w:szCs w:val="20"/>
        </w:rPr>
        <w:t>4. Practical Reporting Timelines for Mature Companies</w:t>
      </w:r>
    </w:p>
    <w:p w:rsidR="008B4806" w:rsidRPr="008B4806" w:rsidRDefault="008B4806" w:rsidP="008B4806">
      <w:p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Using the exemplar reporting timeline shared in advance of</w:t>
      </w:r>
      <w:r w:rsidR="00A44CC7">
        <w:rPr>
          <w:rFonts w:ascii="Arial" w:eastAsia="Times New Roman" w:hAnsi="Arial" w:cs="Arial"/>
          <w:sz w:val="20"/>
          <w:szCs w:val="20"/>
        </w:rPr>
        <w:t xml:space="preserve"> and during </w:t>
      </w:r>
      <w:r w:rsidRPr="008B4806">
        <w:rPr>
          <w:rFonts w:ascii="Arial" w:eastAsia="Times New Roman" w:hAnsi="Arial" w:cs="Arial"/>
          <w:sz w:val="20"/>
          <w:szCs w:val="20"/>
        </w:rPr>
        <w:t xml:space="preserve">the meeting, representatives </w:t>
      </w:r>
      <w:r w:rsidR="00A44CC7">
        <w:rPr>
          <w:rFonts w:ascii="Arial" w:eastAsia="Times New Roman" w:hAnsi="Arial" w:cs="Arial"/>
          <w:sz w:val="20"/>
          <w:szCs w:val="20"/>
        </w:rPr>
        <w:t>of Home Depot, Microsoft, Edison</w:t>
      </w:r>
      <w:r w:rsidR="003551CB">
        <w:rPr>
          <w:rFonts w:ascii="Arial" w:eastAsia="Times New Roman" w:hAnsi="Arial" w:cs="Arial"/>
          <w:sz w:val="20"/>
          <w:szCs w:val="20"/>
        </w:rPr>
        <w:t xml:space="preserve"> International</w:t>
      </w:r>
      <w:r w:rsidR="00A44CC7">
        <w:rPr>
          <w:rFonts w:ascii="Arial" w:eastAsia="Times New Roman" w:hAnsi="Arial" w:cs="Arial"/>
          <w:sz w:val="20"/>
          <w:szCs w:val="20"/>
        </w:rPr>
        <w:t xml:space="preserve">, and Regions </w:t>
      </w:r>
      <w:r w:rsidR="003551CB">
        <w:rPr>
          <w:rFonts w:ascii="Arial" w:eastAsia="Times New Roman" w:hAnsi="Arial" w:cs="Arial"/>
          <w:sz w:val="20"/>
          <w:szCs w:val="20"/>
        </w:rPr>
        <w:t xml:space="preserve">Financial </w:t>
      </w:r>
      <w:r w:rsidRPr="008B4806">
        <w:rPr>
          <w:rFonts w:ascii="Arial" w:eastAsia="Times New Roman" w:hAnsi="Arial" w:cs="Arial"/>
          <w:sz w:val="20"/>
          <w:szCs w:val="20"/>
        </w:rPr>
        <w:t>walked through the typical sequence of steps</w:t>
      </w:r>
      <w:r w:rsidR="00A44CC7">
        <w:rPr>
          <w:rFonts w:ascii="Arial" w:eastAsia="Times New Roman" w:hAnsi="Arial" w:cs="Arial"/>
          <w:sz w:val="20"/>
          <w:szCs w:val="20"/>
        </w:rPr>
        <w:t xml:space="preserve"> and processes</w:t>
      </w:r>
      <w:r w:rsidRPr="008B4806">
        <w:rPr>
          <w:rFonts w:ascii="Arial" w:eastAsia="Times New Roman" w:hAnsi="Arial" w:cs="Arial"/>
          <w:sz w:val="20"/>
          <w:szCs w:val="20"/>
        </w:rPr>
        <w:t xml:space="preserve"> required for high-quality GHG reporting</w:t>
      </w:r>
      <w:r w:rsidR="00A44CC7">
        <w:rPr>
          <w:rFonts w:ascii="Arial" w:eastAsia="Times New Roman" w:hAnsi="Arial" w:cs="Arial"/>
          <w:sz w:val="20"/>
          <w:szCs w:val="20"/>
        </w:rPr>
        <w:t xml:space="preserve"> at their companies</w:t>
      </w:r>
      <w:r w:rsidRPr="008B4806">
        <w:rPr>
          <w:rFonts w:ascii="Arial" w:eastAsia="Times New Roman" w:hAnsi="Arial" w:cs="Arial"/>
          <w:sz w:val="20"/>
          <w:szCs w:val="20"/>
        </w:rPr>
        <w:t>, including:</w:t>
      </w:r>
    </w:p>
    <w:p w:rsidR="008B4806" w:rsidRPr="008B4806" w:rsidRDefault="008B4806" w:rsidP="008B4806">
      <w:pPr>
        <w:numPr>
          <w:ilvl w:val="0"/>
          <w:numId w:val="5"/>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Data collection and calculation</w:t>
      </w:r>
    </w:p>
    <w:p w:rsidR="008B4806" w:rsidRPr="008B4806" w:rsidRDefault="008B4806" w:rsidP="008B4806">
      <w:pPr>
        <w:numPr>
          <w:ilvl w:val="0"/>
          <w:numId w:val="5"/>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Internal and third-party review</w:t>
      </w:r>
    </w:p>
    <w:p w:rsidR="008B4806" w:rsidRPr="008B4806" w:rsidRDefault="008B4806" w:rsidP="008B4806">
      <w:pPr>
        <w:numPr>
          <w:ilvl w:val="0"/>
          <w:numId w:val="5"/>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Drafting and iterative review</w:t>
      </w:r>
    </w:p>
    <w:p w:rsidR="008B4806" w:rsidRPr="008B4806" w:rsidRDefault="008B4806" w:rsidP="008B4806">
      <w:pPr>
        <w:numPr>
          <w:ilvl w:val="0"/>
          <w:numId w:val="5"/>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Executive approval and signoff</w:t>
      </w:r>
    </w:p>
    <w:p w:rsidR="008B4806" w:rsidRPr="008B4806" w:rsidRDefault="008B4806" w:rsidP="008B4806">
      <w:p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 xml:space="preserve">Even when steps occur concurrently, these processes commonly extend </w:t>
      </w:r>
      <w:r w:rsidRPr="00A44CC7">
        <w:rPr>
          <w:rFonts w:ascii="Arial" w:eastAsia="Times New Roman" w:hAnsi="Arial" w:cs="Arial"/>
          <w:bCs/>
          <w:sz w:val="20"/>
          <w:szCs w:val="20"/>
        </w:rPr>
        <w:t xml:space="preserve">to </w:t>
      </w:r>
      <w:r w:rsidR="003551CB">
        <w:rPr>
          <w:rFonts w:ascii="Arial" w:eastAsia="Times New Roman" w:hAnsi="Arial" w:cs="Arial"/>
          <w:bCs/>
          <w:sz w:val="20"/>
          <w:szCs w:val="20"/>
        </w:rPr>
        <w:t>~</w:t>
      </w:r>
      <w:r w:rsidRPr="00A44CC7">
        <w:rPr>
          <w:rFonts w:ascii="Arial" w:eastAsia="Times New Roman" w:hAnsi="Arial" w:cs="Arial"/>
          <w:bCs/>
          <w:sz w:val="20"/>
          <w:szCs w:val="20"/>
        </w:rPr>
        <w:t>nine months post-fiscal year-end</w:t>
      </w:r>
      <w:r w:rsidRPr="008B4806">
        <w:rPr>
          <w:rFonts w:ascii="Arial" w:eastAsia="Times New Roman" w:hAnsi="Arial" w:cs="Arial"/>
          <w:sz w:val="20"/>
          <w:szCs w:val="20"/>
        </w:rPr>
        <w:t>.</w:t>
      </w:r>
    </w:p>
    <w:p w:rsidR="008B4806" w:rsidRPr="008B4806" w:rsidRDefault="008B4806" w:rsidP="008B4806">
      <w:pPr>
        <w:spacing w:before="100" w:beforeAutospacing="1" w:after="100" w:afterAutospacing="1" w:line="240" w:lineRule="auto"/>
        <w:outlineLvl w:val="2"/>
        <w:rPr>
          <w:rFonts w:ascii="Arial" w:eastAsia="Times New Roman" w:hAnsi="Arial" w:cs="Arial"/>
          <w:b/>
          <w:bCs/>
          <w:sz w:val="20"/>
          <w:szCs w:val="20"/>
        </w:rPr>
      </w:pPr>
      <w:r w:rsidRPr="008B4806">
        <w:rPr>
          <w:rFonts w:ascii="Arial" w:eastAsia="Times New Roman" w:hAnsi="Arial" w:cs="Arial"/>
          <w:b/>
          <w:bCs/>
          <w:sz w:val="20"/>
          <w:szCs w:val="20"/>
        </w:rPr>
        <w:t>5. Role of Assurance and Data Integrity</w:t>
      </w:r>
    </w:p>
    <w:p w:rsidR="008B4806" w:rsidRPr="008B4806" w:rsidRDefault="008B4806" w:rsidP="008B4806">
      <w:p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Although assurance is not required by CARB for 2026 reporting, participants emphasized that:</w:t>
      </w:r>
    </w:p>
    <w:p w:rsidR="008B4806" w:rsidRPr="008B4806" w:rsidRDefault="008B4806" w:rsidP="008B4806">
      <w:pPr>
        <w:numPr>
          <w:ilvl w:val="0"/>
          <w:numId w:val="6"/>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lastRenderedPageBreak/>
        <w:t>For many mature reporters, assurance is an established and non-negotiable component of emissions reporting.</w:t>
      </w:r>
    </w:p>
    <w:p w:rsidR="008B4806" w:rsidRPr="008B4806" w:rsidRDefault="008B4806" w:rsidP="008B4806">
      <w:pPr>
        <w:numPr>
          <w:ilvl w:val="0"/>
          <w:numId w:val="6"/>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Companies face material legal, reputational, and operational risks if they are forced to submit data that later requires revision.</w:t>
      </w:r>
    </w:p>
    <w:p w:rsidR="008B4806" w:rsidRPr="008B4806" w:rsidRDefault="008B4806" w:rsidP="008B4806">
      <w:pPr>
        <w:numPr>
          <w:ilvl w:val="0"/>
          <w:numId w:val="6"/>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Consistency with prior disclosures and alignment across multiple reporting audiences are critical considerations.</w:t>
      </w:r>
    </w:p>
    <w:p w:rsidR="008B4806" w:rsidRPr="008B4806" w:rsidRDefault="008B4806" w:rsidP="008B4806">
      <w:pPr>
        <w:spacing w:before="100" w:beforeAutospacing="1" w:after="100" w:afterAutospacing="1" w:line="240" w:lineRule="auto"/>
        <w:outlineLvl w:val="2"/>
        <w:rPr>
          <w:rFonts w:ascii="Arial" w:eastAsia="Times New Roman" w:hAnsi="Arial" w:cs="Arial"/>
          <w:b/>
          <w:bCs/>
          <w:sz w:val="20"/>
          <w:szCs w:val="20"/>
        </w:rPr>
      </w:pPr>
      <w:r w:rsidRPr="008B4806">
        <w:rPr>
          <w:rFonts w:ascii="Arial" w:eastAsia="Times New Roman" w:hAnsi="Arial" w:cs="Arial"/>
          <w:b/>
          <w:bCs/>
          <w:sz w:val="20"/>
          <w:szCs w:val="20"/>
        </w:rPr>
        <w:t>6. CARB Is One of Multiple Disclosure Audiences</w:t>
      </w:r>
    </w:p>
    <w:p w:rsidR="008B4806" w:rsidRPr="008B4806" w:rsidRDefault="008B4806" w:rsidP="008B4806">
      <w:p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The discussion highlighted that companies’ GHG disclosures are used by multiple stakeholders beyond CARB, including investors, regulators, customers, and global standard-setting regimes.</w:t>
      </w:r>
    </w:p>
    <w:p w:rsidR="008B4806" w:rsidRPr="008B4806" w:rsidRDefault="008B4806" w:rsidP="008B4806">
      <w:pPr>
        <w:numPr>
          <w:ilvl w:val="0"/>
          <w:numId w:val="7"/>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While the regulations permit use of “best-available data” in the first reporting year, companies remain focused on accuracy, completeness, and internal consistency.</w:t>
      </w:r>
    </w:p>
    <w:p w:rsidR="008B4806" w:rsidRPr="008B4806" w:rsidRDefault="008B4806" w:rsidP="008B4806">
      <w:pPr>
        <w:numPr>
          <w:ilvl w:val="0"/>
          <w:numId w:val="7"/>
        </w:num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Many companies are simultaneously reporting under CDP, voluntary sustainability frameworks, and international standards.</w:t>
      </w:r>
    </w:p>
    <w:p w:rsidR="008B4806" w:rsidRPr="008B4806" w:rsidRDefault="008B4806" w:rsidP="008B4806">
      <w:pPr>
        <w:spacing w:after="0" w:line="240" w:lineRule="auto"/>
        <w:rPr>
          <w:rFonts w:ascii="Arial" w:eastAsia="Times New Roman" w:hAnsi="Arial" w:cs="Arial"/>
          <w:sz w:val="20"/>
          <w:szCs w:val="20"/>
        </w:rPr>
      </w:pPr>
      <w:r w:rsidRPr="008B4806">
        <w:rPr>
          <w:rFonts w:ascii="Arial" w:eastAsia="Times New Roman" w:hAnsi="Arial" w:cs="Arial"/>
          <w:sz w:val="20"/>
          <w:szCs w:val="20"/>
        </w:rPr>
        <w:pict>
          <v:rect id="_x0000_i1026" style="width:0;height:1.5pt" o:hralign="center" o:hrstd="t" o:hr="t" fillcolor="#a0a0a0" stroked="f"/>
        </w:pict>
      </w:r>
    </w:p>
    <w:p w:rsidR="008B4806" w:rsidRPr="008B4806" w:rsidRDefault="008B4806" w:rsidP="008B4806">
      <w:pPr>
        <w:spacing w:before="100" w:beforeAutospacing="1" w:after="100" w:afterAutospacing="1" w:line="240" w:lineRule="auto"/>
        <w:outlineLvl w:val="1"/>
        <w:rPr>
          <w:rFonts w:ascii="Arial" w:eastAsia="Times New Roman" w:hAnsi="Arial" w:cs="Arial"/>
          <w:b/>
          <w:bCs/>
          <w:sz w:val="20"/>
          <w:szCs w:val="20"/>
        </w:rPr>
      </w:pPr>
      <w:r w:rsidRPr="008B4806">
        <w:rPr>
          <w:rFonts w:ascii="Arial" w:eastAsia="Times New Roman" w:hAnsi="Arial" w:cs="Arial"/>
          <w:b/>
          <w:bCs/>
          <w:sz w:val="20"/>
          <w:szCs w:val="20"/>
        </w:rPr>
        <w:t>Recommendations and Next Steps</w:t>
      </w:r>
    </w:p>
    <w:p w:rsidR="008B4806" w:rsidRPr="008B4806" w:rsidRDefault="008B4806" w:rsidP="00A44CC7">
      <w:p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Consistent with prior Society comment letters and discussions with legislative stakeholders,</w:t>
      </w:r>
      <w:r w:rsidR="00045C29">
        <w:rPr>
          <w:rStyle w:val="FootnoteReference"/>
          <w:rFonts w:ascii="Arial" w:eastAsia="Times New Roman" w:hAnsi="Arial" w:cs="Arial"/>
          <w:sz w:val="20"/>
          <w:szCs w:val="20"/>
        </w:rPr>
        <w:footnoteReference w:id="2"/>
      </w:r>
      <w:r w:rsidRPr="008B4806">
        <w:rPr>
          <w:rFonts w:ascii="Arial" w:eastAsia="Times New Roman" w:hAnsi="Arial" w:cs="Arial"/>
          <w:sz w:val="20"/>
          <w:szCs w:val="20"/>
        </w:rPr>
        <w:t xml:space="preserve"> </w:t>
      </w:r>
      <w:r w:rsidR="00A44CC7">
        <w:rPr>
          <w:rFonts w:ascii="Arial" w:eastAsia="Times New Roman" w:hAnsi="Arial" w:cs="Arial"/>
          <w:sz w:val="20"/>
          <w:szCs w:val="20"/>
        </w:rPr>
        <w:t xml:space="preserve">the </w:t>
      </w:r>
      <w:r w:rsidRPr="008B4806">
        <w:rPr>
          <w:rFonts w:ascii="Arial" w:eastAsia="Times New Roman" w:hAnsi="Arial" w:cs="Arial"/>
          <w:sz w:val="20"/>
          <w:szCs w:val="20"/>
        </w:rPr>
        <w:t xml:space="preserve">Society reiterated </w:t>
      </w:r>
      <w:r w:rsidR="003551CB">
        <w:rPr>
          <w:rFonts w:ascii="Arial" w:eastAsia="Times New Roman" w:hAnsi="Arial" w:cs="Arial"/>
          <w:sz w:val="20"/>
          <w:szCs w:val="20"/>
        </w:rPr>
        <w:t>its</w:t>
      </w:r>
      <w:r w:rsidRPr="008B4806">
        <w:rPr>
          <w:rFonts w:ascii="Arial" w:eastAsia="Times New Roman" w:hAnsi="Arial" w:cs="Arial"/>
          <w:sz w:val="20"/>
          <w:szCs w:val="20"/>
        </w:rPr>
        <w:t xml:space="preserve"> recommendation that</w:t>
      </w:r>
      <w:r w:rsidR="00A44CC7">
        <w:rPr>
          <w:rFonts w:ascii="Arial" w:eastAsia="Times New Roman" w:hAnsi="Arial" w:cs="Arial"/>
          <w:sz w:val="20"/>
          <w:szCs w:val="20"/>
        </w:rPr>
        <w:t xml:space="preserve"> </w:t>
      </w:r>
      <w:r w:rsidRPr="00A44CC7">
        <w:rPr>
          <w:rFonts w:ascii="Arial" w:eastAsia="Times New Roman" w:hAnsi="Arial" w:cs="Arial"/>
          <w:bCs/>
          <w:sz w:val="20"/>
          <w:szCs w:val="20"/>
        </w:rPr>
        <w:t>CARB remain prepared to accept SB 253 submissions beginning August 10, 2026</w:t>
      </w:r>
      <w:r w:rsidRPr="008B4806">
        <w:rPr>
          <w:rFonts w:ascii="Arial" w:eastAsia="Times New Roman" w:hAnsi="Arial" w:cs="Arial"/>
          <w:sz w:val="20"/>
          <w:szCs w:val="20"/>
        </w:rPr>
        <w:t>, while</w:t>
      </w:r>
      <w:r w:rsidR="00A44CC7">
        <w:rPr>
          <w:rFonts w:ascii="Arial" w:eastAsia="Times New Roman" w:hAnsi="Arial" w:cs="Arial"/>
          <w:sz w:val="20"/>
          <w:szCs w:val="20"/>
        </w:rPr>
        <w:t xml:space="preserve"> p</w:t>
      </w:r>
      <w:r w:rsidRPr="00A44CC7">
        <w:rPr>
          <w:rFonts w:ascii="Arial" w:eastAsia="Times New Roman" w:hAnsi="Arial" w:cs="Arial"/>
          <w:bCs/>
          <w:sz w:val="20"/>
          <w:szCs w:val="20"/>
        </w:rPr>
        <w:t xml:space="preserve">ermitting companies to submit initial </w:t>
      </w:r>
      <w:r w:rsidR="003551CB">
        <w:rPr>
          <w:rFonts w:ascii="Arial" w:eastAsia="Times New Roman" w:hAnsi="Arial" w:cs="Arial"/>
          <w:bCs/>
          <w:sz w:val="20"/>
          <w:szCs w:val="20"/>
        </w:rPr>
        <w:t>SB 253</w:t>
      </w:r>
      <w:r w:rsidRPr="00A44CC7">
        <w:rPr>
          <w:rFonts w:ascii="Arial" w:eastAsia="Times New Roman" w:hAnsi="Arial" w:cs="Arial"/>
          <w:bCs/>
          <w:sz w:val="20"/>
          <w:szCs w:val="20"/>
        </w:rPr>
        <w:t xml:space="preserve"> reports on a rolling basis through December 31, 2026</w:t>
      </w:r>
      <w:r w:rsidRPr="008B4806">
        <w:rPr>
          <w:rFonts w:ascii="Arial" w:eastAsia="Times New Roman" w:hAnsi="Arial" w:cs="Arial"/>
          <w:sz w:val="20"/>
          <w:szCs w:val="20"/>
        </w:rPr>
        <w:t>, based on reasonably available data and established reporting practices.</w:t>
      </w:r>
    </w:p>
    <w:p w:rsidR="008B4806" w:rsidRPr="008B4806" w:rsidRDefault="008B4806" w:rsidP="008B4806">
      <w:pPr>
        <w:spacing w:before="100" w:beforeAutospacing="1" w:after="100" w:afterAutospacing="1" w:line="240" w:lineRule="auto"/>
        <w:rPr>
          <w:rFonts w:ascii="Arial" w:eastAsia="Times New Roman" w:hAnsi="Arial" w:cs="Arial"/>
          <w:sz w:val="20"/>
          <w:szCs w:val="20"/>
        </w:rPr>
      </w:pPr>
      <w:r w:rsidRPr="008B4806">
        <w:rPr>
          <w:rFonts w:ascii="Arial" w:eastAsia="Times New Roman" w:hAnsi="Arial" w:cs="Arial"/>
          <w:sz w:val="20"/>
          <w:szCs w:val="20"/>
        </w:rPr>
        <w:t xml:space="preserve">The Society plans to </w:t>
      </w:r>
      <w:r w:rsidR="003551CB">
        <w:rPr>
          <w:rFonts w:ascii="Arial" w:eastAsia="Times New Roman" w:hAnsi="Arial" w:cs="Arial"/>
          <w:sz w:val="20"/>
          <w:szCs w:val="20"/>
        </w:rPr>
        <w:t>recap</w:t>
      </w:r>
      <w:r w:rsidRPr="008B4806">
        <w:rPr>
          <w:rFonts w:ascii="Arial" w:eastAsia="Times New Roman" w:hAnsi="Arial" w:cs="Arial"/>
          <w:sz w:val="20"/>
          <w:szCs w:val="20"/>
        </w:rPr>
        <w:t xml:space="preserve"> these issues further in its forthcoming comment letter in response to the Notice of Proposed Rulemaking.</w:t>
      </w:r>
    </w:p>
    <w:p w:rsidR="008B4806" w:rsidRPr="008B4806" w:rsidRDefault="008B4806" w:rsidP="008B4806">
      <w:pPr>
        <w:spacing w:after="0" w:line="240" w:lineRule="auto"/>
        <w:rPr>
          <w:rFonts w:ascii="Arial" w:eastAsia="Times New Roman" w:hAnsi="Arial" w:cs="Arial"/>
          <w:sz w:val="20"/>
          <w:szCs w:val="20"/>
        </w:rPr>
      </w:pPr>
    </w:p>
    <w:sectPr w:rsidR="008B4806" w:rsidRPr="008B4806" w:rsidSect="00AA6A2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BEC" w:rsidRDefault="00173BEC" w:rsidP="006F676F">
      <w:pPr>
        <w:spacing w:after="0" w:line="240" w:lineRule="auto"/>
      </w:pPr>
      <w:r>
        <w:separator/>
      </w:r>
    </w:p>
  </w:endnote>
  <w:endnote w:type="continuationSeparator" w:id="0">
    <w:p w:rsidR="00173BEC" w:rsidRDefault="00173BEC" w:rsidP="006F6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BEC" w:rsidRDefault="00173BEC" w:rsidP="006F676F">
      <w:pPr>
        <w:spacing w:after="0" w:line="240" w:lineRule="auto"/>
      </w:pPr>
      <w:r>
        <w:separator/>
      </w:r>
    </w:p>
  </w:footnote>
  <w:footnote w:type="continuationSeparator" w:id="0">
    <w:p w:rsidR="00173BEC" w:rsidRDefault="00173BEC" w:rsidP="006F676F">
      <w:pPr>
        <w:spacing w:after="0" w:line="240" w:lineRule="auto"/>
      </w:pPr>
      <w:r>
        <w:continuationSeparator/>
      </w:r>
    </w:p>
  </w:footnote>
  <w:footnote w:id="1">
    <w:p w:rsidR="002C6757" w:rsidRDefault="002C6757">
      <w:pPr>
        <w:pStyle w:val="FootnoteText"/>
      </w:pPr>
      <w:r>
        <w:rPr>
          <w:rStyle w:val="FootnoteReference"/>
        </w:rPr>
        <w:footnoteRef/>
      </w:r>
      <w:r>
        <w:t xml:space="preserve"> </w:t>
      </w:r>
      <w:r w:rsidRPr="004B30DC">
        <w:rPr>
          <w:rFonts w:ascii="Arial" w:hAnsi="Arial" w:cs="Arial"/>
          <w:sz w:val="18"/>
          <w:szCs w:val="18"/>
        </w:rPr>
        <w:t>Staff Report at 15: “Companies whose fiscal year ends after February 1, 2026 in a calendar year, would report data based on the fiscal year ending in the previous calendar year (in this case, FY 2024-25 data), while also having the option to report data based on the more recent fiscal year where available. This approach guarantees at least six</w:t>
      </w:r>
      <w:r>
        <w:rPr>
          <w:rFonts w:ascii="Arial" w:hAnsi="Arial" w:cs="Arial"/>
        </w:rPr>
        <w:t xml:space="preserve"> </w:t>
      </w:r>
      <w:r w:rsidRPr="004B30DC">
        <w:rPr>
          <w:rFonts w:ascii="Arial" w:hAnsi="Arial" w:cs="Arial"/>
          <w:sz w:val="18"/>
          <w:szCs w:val="18"/>
        </w:rPr>
        <w:t>months of time between fiscal year end and the proposed reporting deadline, to provide additional flexibility and accommodate the wide range of fiscal year timelines.”</w:t>
      </w:r>
    </w:p>
  </w:footnote>
  <w:footnote w:id="2">
    <w:p w:rsidR="00045C29" w:rsidRPr="002C6757" w:rsidRDefault="00045C29">
      <w:pPr>
        <w:pStyle w:val="FootnoteText"/>
        <w:rPr>
          <w:rFonts w:ascii="Arial" w:hAnsi="Arial" w:cs="Arial"/>
          <w:sz w:val="18"/>
          <w:szCs w:val="18"/>
        </w:rPr>
      </w:pPr>
      <w:r w:rsidRPr="002C6757">
        <w:rPr>
          <w:rStyle w:val="FootnoteReference"/>
          <w:rFonts w:ascii="Arial" w:hAnsi="Arial" w:cs="Arial"/>
          <w:sz w:val="18"/>
          <w:szCs w:val="18"/>
        </w:rPr>
        <w:footnoteRef/>
      </w:r>
      <w:r w:rsidRPr="002C6757">
        <w:rPr>
          <w:rFonts w:ascii="Arial" w:hAnsi="Arial" w:cs="Arial"/>
          <w:sz w:val="18"/>
          <w:szCs w:val="18"/>
        </w:rPr>
        <w:t xml:space="preserve"> </w:t>
      </w:r>
      <w:r w:rsidR="002C6757" w:rsidRPr="002C6757">
        <w:rPr>
          <w:rFonts w:ascii="Arial" w:hAnsi="Arial" w:cs="Arial"/>
          <w:sz w:val="18"/>
          <w:szCs w:val="18"/>
        </w:rPr>
        <w:t>See, e.g., Society: </w:t>
      </w:r>
      <w:hyperlink r:id="rId1" w:tgtFrame="_blank" w:history="1">
        <w:r w:rsidR="002C6757" w:rsidRPr="002C6757">
          <w:rPr>
            <w:rStyle w:val="Hyperlink"/>
            <w:rFonts w:ascii="Arial" w:hAnsi="Arial" w:cs="Arial"/>
            <w:sz w:val="18"/>
            <w:szCs w:val="18"/>
          </w:rPr>
          <w:t>Key Takeaways from October 22, 2025, Meeting with Senator Stern</w:t>
        </w:r>
      </w:hyperlink>
      <w:r w:rsidR="002C6757" w:rsidRPr="002C6757">
        <w:rPr>
          <w:rFonts w:ascii="Arial" w:hAnsi="Arial" w:cs="Arial"/>
          <w:sz w:val="18"/>
          <w:szCs w:val="18"/>
        </w:rPr>
        <w:t xml:space="preserve"> | October 2025;  </w:t>
      </w:r>
      <w:hyperlink r:id="rId2" w:history="1">
        <w:r w:rsidR="002C6757" w:rsidRPr="002C6757">
          <w:rPr>
            <w:rStyle w:val="Hyperlink"/>
            <w:rFonts w:ascii="Arial" w:hAnsi="Arial" w:cs="Arial"/>
            <w:sz w:val="18"/>
            <w:szCs w:val="18"/>
          </w:rPr>
          <w:t>Society Letter to CARB in Response to Request for Comments Following August 21, 2025 Public Workshop</w:t>
        </w:r>
      </w:hyperlink>
      <w:r w:rsidR="002C6757" w:rsidRPr="002C6757">
        <w:rPr>
          <w:rFonts w:ascii="Arial" w:hAnsi="Arial" w:cs="Arial"/>
          <w:sz w:val="18"/>
          <w:szCs w:val="18"/>
        </w:rPr>
        <w:t xml:space="preserve"> | September 2025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399D"/>
    <w:multiLevelType w:val="multilevel"/>
    <w:tmpl w:val="0AD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57082"/>
    <w:multiLevelType w:val="multilevel"/>
    <w:tmpl w:val="EA0C7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E44F2"/>
    <w:multiLevelType w:val="multilevel"/>
    <w:tmpl w:val="89E6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FA2A54"/>
    <w:multiLevelType w:val="multilevel"/>
    <w:tmpl w:val="132E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D25DA6"/>
    <w:multiLevelType w:val="multilevel"/>
    <w:tmpl w:val="092C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B005FF"/>
    <w:multiLevelType w:val="multilevel"/>
    <w:tmpl w:val="6B24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EA47C8"/>
    <w:multiLevelType w:val="multilevel"/>
    <w:tmpl w:val="088C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DB4C20"/>
    <w:multiLevelType w:val="multilevel"/>
    <w:tmpl w:val="3462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7444B0"/>
    <w:multiLevelType w:val="multilevel"/>
    <w:tmpl w:val="940A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5"/>
  </w:num>
  <w:num w:numId="5">
    <w:abstractNumId w:val="2"/>
  </w:num>
  <w:num w:numId="6">
    <w:abstractNumId w:val="8"/>
  </w:num>
  <w:num w:numId="7">
    <w:abstractNumId w:val="4"/>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4806"/>
    <w:rsid w:val="00045C29"/>
    <w:rsid w:val="000941C3"/>
    <w:rsid w:val="00155054"/>
    <w:rsid w:val="00173BEC"/>
    <w:rsid w:val="00287E22"/>
    <w:rsid w:val="002C6757"/>
    <w:rsid w:val="003551CB"/>
    <w:rsid w:val="003E762F"/>
    <w:rsid w:val="004B30DC"/>
    <w:rsid w:val="0061530A"/>
    <w:rsid w:val="006F676F"/>
    <w:rsid w:val="008B4806"/>
    <w:rsid w:val="00A44CC7"/>
    <w:rsid w:val="00AA6A2B"/>
    <w:rsid w:val="00B3677F"/>
    <w:rsid w:val="00D77D32"/>
    <w:rsid w:val="00DA7AD5"/>
    <w:rsid w:val="00E0681F"/>
    <w:rsid w:val="00E54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2B"/>
  </w:style>
  <w:style w:type="paragraph" w:styleId="Heading2">
    <w:name w:val="heading 2"/>
    <w:basedOn w:val="Normal"/>
    <w:link w:val="Heading2Char"/>
    <w:uiPriority w:val="9"/>
    <w:qFormat/>
    <w:rsid w:val="008B4806"/>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B480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4806"/>
    <w:rPr>
      <w:rFonts w:eastAsia="Times New Roman" w:cs="Times New Roman"/>
      <w:b/>
      <w:bCs/>
      <w:sz w:val="36"/>
      <w:szCs w:val="36"/>
    </w:rPr>
  </w:style>
  <w:style w:type="character" w:customStyle="1" w:styleId="Heading3Char">
    <w:name w:val="Heading 3 Char"/>
    <w:basedOn w:val="DefaultParagraphFont"/>
    <w:link w:val="Heading3"/>
    <w:uiPriority w:val="9"/>
    <w:rsid w:val="008B4806"/>
    <w:rPr>
      <w:rFonts w:eastAsia="Times New Roman" w:cs="Times New Roman"/>
      <w:b/>
      <w:bCs/>
      <w:sz w:val="27"/>
      <w:szCs w:val="27"/>
    </w:rPr>
  </w:style>
  <w:style w:type="paragraph" w:styleId="NormalWeb">
    <w:name w:val="Normal (Web)"/>
    <w:basedOn w:val="Normal"/>
    <w:uiPriority w:val="99"/>
    <w:semiHidden/>
    <w:unhideWhenUsed/>
    <w:rsid w:val="008B480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B4806"/>
    <w:rPr>
      <w:b/>
      <w:bCs/>
    </w:rPr>
  </w:style>
  <w:style w:type="paragraph" w:styleId="FootnoteText">
    <w:name w:val="footnote text"/>
    <w:basedOn w:val="Normal"/>
    <w:link w:val="FootnoteTextChar"/>
    <w:uiPriority w:val="99"/>
    <w:semiHidden/>
    <w:unhideWhenUsed/>
    <w:rsid w:val="006F67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76F"/>
    <w:rPr>
      <w:sz w:val="20"/>
      <w:szCs w:val="20"/>
    </w:rPr>
  </w:style>
  <w:style w:type="character" w:styleId="FootnoteReference">
    <w:name w:val="footnote reference"/>
    <w:basedOn w:val="DefaultParagraphFont"/>
    <w:uiPriority w:val="99"/>
    <w:semiHidden/>
    <w:unhideWhenUsed/>
    <w:rsid w:val="006F676F"/>
    <w:rPr>
      <w:vertAlign w:val="superscript"/>
    </w:rPr>
  </w:style>
  <w:style w:type="character" w:styleId="Hyperlink">
    <w:name w:val="Hyperlink"/>
    <w:basedOn w:val="DefaultParagraphFont"/>
    <w:uiPriority w:val="99"/>
    <w:semiHidden/>
    <w:unhideWhenUsed/>
    <w:rsid w:val="00045C29"/>
    <w:rPr>
      <w:color w:val="0000FF"/>
      <w:u w:val="single"/>
    </w:rPr>
  </w:style>
</w:styles>
</file>

<file path=word/webSettings.xml><?xml version="1.0" encoding="utf-8"?>
<w:webSettings xmlns:r="http://schemas.openxmlformats.org/officeDocument/2006/relationships" xmlns:w="http://schemas.openxmlformats.org/wordprocessingml/2006/main">
  <w:divs>
    <w:div w:id="1760368979">
      <w:bodyDiv w:val="1"/>
      <w:marLeft w:val="0"/>
      <w:marRight w:val="0"/>
      <w:marTop w:val="0"/>
      <w:marBottom w:val="0"/>
      <w:divBdr>
        <w:top w:val="none" w:sz="0" w:space="0" w:color="auto"/>
        <w:left w:val="none" w:sz="0" w:space="0" w:color="auto"/>
        <w:bottom w:val="none" w:sz="0" w:space="0" w:color="auto"/>
        <w:right w:val="none" w:sz="0" w:space="0" w:color="auto"/>
      </w:divBdr>
    </w:div>
    <w:div w:id="201059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higherlogicdownload.s3.amazonaws.com/GOVERNANCEPROFESSIONALS/5d47927b-105a-4bc7-9aef-821536f3505b/UploadedImages/Society_for_Corporate_Governance_Comment_Letter_Post-August_21__2025_Workshop__9-11-25_.pdf" TargetMode="External"/><Relationship Id="rId1" Type="http://schemas.openxmlformats.org/officeDocument/2006/relationships/hyperlink" Target="https://higherlogicdownload.s3.amazonaws.com/GOVERNANCEPROFESSIONALS/5d47927b-105a-4bc7-9aef-821536f3505b/UploadedImages/Key_Takeaways__Society_Meeting_with_Senator_Stern_October_22_2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1C61C-1A08-44ED-9B29-F652B572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dc:creator>
  <cp:lastModifiedBy>randi</cp:lastModifiedBy>
  <cp:revision>2</cp:revision>
  <dcterms:created xsi:type="dcterms:W3CDTF">2026-01-29T00:16:00Z</dcterms:created>
  <dcterms:modified xsi:type="dcterms:W3CDTF">2026-01-29T00:16:00Z</dcterms:modified>
</cp:coreProperties>
</file>