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E7D" w:rsidRPr="00B65080" w:rsidRDefault="005C2E7D" w:rsidP="00C8400D">
      <w:pPr>
        <w:jc w:val="center"/>
        <w:rPr>
          <w:rFonts w:ascii="Arial" w:hAnsi="Arial" w:cs="Arial"/>
          <w:b/>
          <w:bCs/>
          <w:sz w:val="20"/>
          <w:szCs w:val="20"/>
        </w:rPr>
      </w:pPr>
      <w:r w:rsidRPr="00B65080">
        <w:rPr>
          <w:rFonts w:ascii="Arial" w:hAnsi="Arial" w:cs="Arial"/>
          <w:b/>
          <w:bCs/>
          <w:sz w:val="20"/>
          <w:szCs w:val="20"/>
        </w:rPr>
        <w:t>Society for Corporate Governance</w:t>
      </w:r>
    </w:p>
    <w:p w:rsidR="007B26CD" w:rsidRPr="00B65080" w:rsidRDefault="00CE0D51" w:rsidP="00C8400D">
      <w:pPr>
        <w:jc w:val="center"/>
        <w:rPr>
          <w:rFonts w:ascii="Arial" w:hAnsi="Arial" w:cs="Arial"/>
          <w:b/>
          <w:bCs/>
          <w:sz w:val="20"/>
          <w:szCs w:val="20"/>
        </w:rPr>
      </w:pPr>
      <w:r w:rsidRPr="00B65080">
        <w:rPr>
          <w:rFonts w:ascii="Arial" w:hAnsi="Arial" w:cs="Arial"/>
          <w:b/>
          <w:bCs/>
          <w:sz w:val="20"/>
          <w:szCs w:val="20"/>
        </w:rPr>
        <w:t xml:space="preserve">Proposals </w:t>
      </w:r>
      <w:r w:rsidR="005C2E7D" w:rsidRPr="00B65080">
        <w:rPr>
          <w:rFonts w:ascii="Arial" w:hAnsi="Arial" w:cs="Arial"/>
          <w:b/>
          <w:bCs/>
          <w:sz w:val="20"/>
          <w:szCs w:val="20"/>
        </w:rPr>
        <w:t xml:space="preserve">for CARB SB 253/SB261 </w:t>
      </w:r>
      <w:r w:rsidRPr="00B65080">
        <w:rPr>
          <w:rFonts w:ascii="Arial" w:hAnsi="Arial" w:cs="Arial"/>
          <w:b/>
          <w:bCs/>
          <w:sz w:val="20"/>
          <w:szCs w:val="20"/>
        </w:rPr>
        <w:t xml:space="preserve">Additional </w:t>
      </w:r>
      <w:r w:rsidR="005C2E7D" w:rsidRPr="00B65080">
        <w:rPr>
          <w:rFonts w:ascii="Arial" w:hAnsi="Arial" w:cs="Arial"/>
          <w:b/>
          <w:bCs/>
          <w:sz w:val="20"/>
          <w:szCs w:val="20"/>
        </w:rPr>
        <w:t>Enforcement Relief</w:t>
      </w:r>
    </w:p>
    <w:p w:rsidR="005C2E7D" w:rsidRPr="00B65080" w:rsidRDefault="005C2E7D" w:rsidP="00C8400D">
      <w:pPr>
        <w:jc w:val="center"/>
        <w:rPr>
          <w:rFonts w:ascii="Arial" w:hAnsi="Arial" w:cs="Arial"/>
          <w:sz w:val="20"/>
          <w:szCs w:val="20"/>
        </w:rPr>
      </w:pPr>
    </w:p>
    <w:tbl>
      <w:tblPr>
        <w:tblStyle w:val="TableGrid"/>
        <w:tblW w:w="14580" w:type="dxa"/>
        <w:tblInd w:w="-522" w:type="dxa"/>
        <w:tblLook w:val="04A0"/>
      </w:tblPr>
      <w:tblGrid>
        <w:gridCol w:w="4680"/>
        <w:gridCol w:w="4032"/>
        <w:gridCol w:w="5868"/>
      </w:tblGrid>
      <w:tr w:rsidR="00691C59" w:rsidRPr="00B65080" w:rsidTr="0074152E">
        <w:tc>
          <w:tcPr>
            <w:tcW w:w="4680" w:type="dxa"/>
          </w:tcPr>
          <w:p w:rsidR="00691C59" w:rsidRPr="00B65080" w:rsidRDefault="00691C59" w:rsidP="00C8400D">
            <w:pPr>
              <w:jc w:val="center"/>
              <w:rPr>
                <w:rFonts w:ascii="Arial" w:hAnsi="Arial" w:cs="Arial"/>
                <w:b/>
                <w:sz w:val="20"/>
                <w:szCs w:val="20"/>
                <w:u w:val="single"/>
              </w:rPr>
            </w:pPr>
            <w:r w:rsidRPr="00B65080">
              <w:rPr>
                <w:rFonts w:ascii="Arial" w:hAnsi="Arial" w:cs="Arial"/>
                <w:b/>
                <w:sz w:val="20"/>
                <w:szCs w:val="20"/>
                <w:u w:val="single"/>
              </w:rPr>
              <w:t>Issue</w:t>
            </w:r>
          </w:p>
        </w:tc>
        <w:tc>
          <w:tcPr>
            <w:tcW w:w="4032" w:type="dxa"/>
          </w:tcPr>
          <w:p w:rsidR="00691C59" w:rsidRPr="00B65080" w:rsidRDefault="00691C59" w:rsidP="00C8400D">
            <w:pPr>
              <w:jc w:val="center"/>
              <w:rPr>
                <w:rFonts w:ascii="Arial" w:hAnsi="Arial" w:cs="Arial"/>
                <w:b/>
                <w:sz w:val="20"/>
                <w:szCs w:val="20"/>
                <w:u w:val="single"/>
              </w:rPr>
            </w:pPr>
            <w:r w:rsidRPr="00B65080">
              <w:rPr>
                <w:rFonts w:ascii="Arial" w:hAnsi="Arial" w:cs="Arial"/>
                <w:b/>
                <w:sz w:val="20"/>
                <w:szCs w:val="20"/>
                <w:u w:val="single"/>
              </w:rPr>
              <w:t>Addressed by CARB?</w:t>
            </w:r>
          </w:p>
        </w:tc>
        <w:tc>
          <w:tcPr>
            <w:tcW w:w="5868" w:type="dxa"/>
          </w:tcPr>
          <w:p w:rsidR="00691C59" w:rsidRPr="00B65080" w:rsidRDefault="00691C59" w:rsidP="00C8400D">
            <w:pPr>
              <w:jc w:val="center"/>
              <w:rPr>
                <w:rFonts w:ascii="Arial" w:hAnsi="Arial" w:cs="Arial"/>
                <w:b/>
                <w:sz w:val="20"/>
                <w:szCs w:val="20"/>
                <w:u w:val="single"/>
              </w:rPr>
            </w:pPr>
            <w:r w:rsidRPr="00B65080">
              <w:rPr>
                <w:rFonts w:ascii="Arial" w:hAnsi="Arial" w:cs="Arial"/>
                <w:b/>
                <w:sz w:val="20"/>
                <w:szCs w:val="20"/>
                <w:u w:val="single"/>
              </w:rPr>
              <w:t>Additional Relief</w:t>
            </w:r>
            <w:r w:rsidR="001E113F" w:rsidRPr="00B65080">
              <w:rPr>
                <w:rFonts w:ascii="Arial" w:hAnsi="Arial" w:cs="Arial"/>
                <w:b/>
                <w:sz w:val="20"/>
                <w:szCs w:val="20"/>
                <w:u w:val="single"/>
              </w:rPr>
              <w:t xml:space="preserve"> Requested</w:t>
            </w:r>
          </w:p>
        </w:tc>
      </w:tr>
      <w:tr w:rsidR="00691C59" w:rsidRPr="00B65080" w:rsidTr="0074152E">
        <w:tc>
          <w:tcPr>
            <w:tcW w:w="4680" w:type="dxa"/>
          </w:tcPr>
          <w:p w:rsidR="00691C59" w:rsidRPr="00B65080" w:rsidRDefault="0073165C" w:rsidP="00D570C8">
            <w:pPr>
              <w:pStyle w:val="ListParagraph"/>
              <w:numPr>
                <w:ilvl w:val="0"/>
                <w:numId w:val="1"/>
              </w:numPr>
              <w:rPr>
                <w:rFonts w:ascii="Arial" w:hAnsi="Arial" w:cs="Arial"/>
                <w:sz w:val="20"/>
                <w:szCs w:val="20"/>
              </w:rPr>
            </w:pPr>
            <w:r>
              <w:rPr>
                <w:rFonts w:ascii="Arial" w:hAnsi="Arial" w:cs="Arial"/>
                <w:sz w:val="20"/>
                <w:szCs w:val="20"/>
              </w:rPr>
              <w:t xml:space="preserve">Pending rulemaking, </w:t>
            </w:r>
            <w:r w:rsidR="00481F29" w:rsidRPr="00481F29">
              <w:rPr>
                <w:rFonts w:ascii="Arial" w:hAnsi="Arial" w:cs="Arial"/>
                <w:b/>
                <w:bCs/>
                <w:sz w:val="20"/>
                <w:szCs w:val="20"/>
              </w:rPr>
              <w:t>m</w:t>
            </w:r>
            <w:r w:rsidR="0074152E" w:rsidRPr="00B65080">
              <w:rPr>
                <w:rFonts w:ascii="Arial" w:hAnsi="Arial" w:cs="Arial"/>
                <w:b/>
                <w:bCs/>
                <w:sz w:val="20"/>
                <w:szCs w:val="20"/>
              </w:rPr>
              <w:t xml:space="preserve">any companies </w:t>
            </w:r>
            <w:r w:rsidR="00BA7B93">
              <w:rPr>
                <w:rFonts w:ascii="Arial" w:hAnsi="Arial" w:cs="Arial"/>
                <w:b/>
                <w:bCs/>
                <w:sz w:val="20"/>
                <w:szCs w:val="20"/>
              </w:rPr>
              <w:t>are</w:t>
            </w:r>
            <w:r w:rsidR="00BA7B93" w:rsidRPr="00B65080">
              <w:rPr>
                <w:rFonts w:ascii="Arial" w:hAnsi="Arial" w:cs="Arial"/>
                <w:b/>
                <w:bCs/>
                <w:sz w:val="20"/>
                <w:szCs w:val="20"/>
              </w:rPr>
              <w:t xml:space="preserve"> </w:t>
            </w:r>
            <w:r w:rsidR="00A1021D" w:rsidRPr="00B65080">
              <w:rPr>
                <w:rFonts w:ascii="Arial" w:hAnsi="Arial" w:cs="Arial"/>
                <w:b/>
                <w:bCs/>
                <w:sz w:val="20"/>
                <w:szCs w:val="20"/>
              </w:rPr>
              <w:t>uncertain as to</w:t>
            </w:r>
            <w:r w:rsidR="00ED7D0A" w:rsidRPr="00B65080">
              <w:rPr>
                <w:rFonts w:ascii="Arial" w:hAnsi="Arial" w:cs="Arial"/>
                <w:b/>
                <w:bCs/>
                <w:sz w:val="20"/>
                <w:szCs w:val="20"/>
              </w:rPr>
              <w:t xml:space="preserve"> </w:t>
            </w:r>
            <w:r w:rsidR="00691C59" w:rsidRPr="00B65080">
              <w:rPr>
                <w:rFonts w:ascii="Arial" w:hAnsi="Arial" w:cs="Arial"/>
                <w:b/>
                <w:bCs/>
                <w:sz w:val="20"/>
                <w:szCs w:val="20"/>
              </w:rPr>
              <w:t>whether they are in</w:t>
            </w:r>
            <w:r w:rsidR="00A1021D" w:rsidRPr="00B65080">
              <w:rPr>
                <w:rFonts w:ascii="Arial" w:hAnsi="Arial" w:cs="Arial"/>
                <w:b/>
                <w:bCs/>
                <w:sz w:val="20"/>
                <w:szCs w:val="20"/>
              </w:rPr>
              <w:t xml:space="preserve"> </w:t>
            </w:r>
            <w:r w:rsidR="00691C59" w:rsidRPr="00B65080">
              <w:rPr>
                <w:rFonts w:ascii="Arial" w:hAnsi="Arial" w:cs="Arial"/>
                <w:b/>
                <w:bCs/>
                <w:sz w:val="20"/>
                <w:szCs w:val="20"/>
              </w:rPr>
              <w:t>scope</w:t>
            </w:r>
            <w:r>
              <w:rPr>
                <w:rFonts w:ascii="Arial" w:hAnsi="Arial" w:cs="Arial"/>
                <w:b/>
                <w:bCs/>
                <w:sz w:val="20"/>
                <w:szCs w:val="20"/>
              </w:rPr>
              <w:t xml:space="preserve"> of SB 253 and SB 261</w:t>
            </w:r>
            <w:r w:rsidR="0074152E" w:rsidRPr="00B65080">
              <w:rPr>
                <w:rFonts w:ascii="Arial" w:hAnsi="Arial" w:cs="Arial"/>
                <w:b/>
                <w:bCs/>
                <w:sz w:val="20"/>
                <w:szCs w:val="20"/>
              </w:rPr>
              <w:t xml:space="preserve">. Even after </w:t>
            </w:r>
            <w:r w:rsidR="00BA7B93">
              <w:rPr>
                <w:rFonts w:ascii="Arial" w:hAnsi="Arial" w:cs="Arial"/>
                <w:b/>
                <w:bCs/>
                <w:sz w:val="20"/>
                <w:szCs w:val="20"/>
              </w:rPr>
              <w:t xml:space="preserve">key </w:t>
            </w:r>
            <w:r w:rsidR="0074152E" w:rsidRPr="00B65080">
              <w:rPr>
                <w:rFonts w:ascii="Arial" w:hAnsi="Arial" w:cs="Arial"/>
                <w:b/>
                <w:bCs/>
                <w:sz w:val="20"/>
                <w:szCs w:val="20"/>
              </w:rPr>
              <w:t>concepts</w:t>
            </w:r>
            <w:r w:rsidR="00BA7B93">
              <w:rPr>
                <w:rFonts w:ascii="Arial" w:hAnsi="Arial" w:cs="Arial"/>
                <w:b/>
                <w:bCs/>
                <w:sz w:val="20"/>
                <w:szCs w:val="20"/>
              </w:rPr>
              <w:t>, such as “doing business in California,”</w:t>
            </w:r>
            <w:r w:rsidR="0074152E" w:rsidRPr="00B65080">
              <w:rPr>
                <w:rFonts w:ascii="Arial" w:hAnsi="Arial" w:cs="Arial"/>
                <w:b/>
                <w:bCs/>
                <w:sz w:val="20"/>
                <w:szCs w:val="20"/>
              </w:rPr>
              <w:t xml:space="preserve"> </w:t>
            </w:r>
            <w:proofErr w:type="gramStart"/>
            <w:r w:rsidR="0074152E" w:rsidRPr="00B65080">
              <w:rPr>
                <w:rFonts w:ascii="Arial" w:hAnsi="Arial" w:cs="Arial"/>
                <w:b/>
                <w:bCs/>
                <w:sz w:val="20"/>
                <w:szCs w:val="20"/>
              </w:rPr>
              <w:t>are</w:t>
            </w:r>
            <w:proofErr w:type="gramEnd"/>
            <w:r w:rsidR="0074152E" w:rsidRPr="00B65080">
              <w:rPr>
                <w:rFonts w:ascii="Arial" w:hAnsi="Arial" w:cs="Arial"/>
                <w:b/>
                <w:bCs/>
                <w:sz w:val="20"/>
                <w:szCs w:val="20"/>
              </w:rPr>
              <w:t xml:space="preserve"> clarified under final CARB rulemaking, companies will need </w:t>
            </w:r>
            <w:r w:rsidR="00ED7D0A" w:rsidRPr="00B65080">
              <w:rPr>
                <w:rFonts w:ascii="Arial" w:hAnsi="Arial" w:cs="Arial"/>
                <w:b/>
                <w:bCs/>
                <w:sz w:val="20"/>
                <w:szCs w:val="20"/>
              </w:rPr>
              <w:t xml:space="preserve">time to prepare applicable reporting by the </w:t>
            </w:r>
            <w:r w:rsidR="0074152E" w:rsidRPr="00B65080">
              <w:rPr>
                <w:rFonts w:ascii="Arial" w:hAnsi="Arial" w:cs="Arial"/>
                <w:b/>
                <w:bCs/>
                <w:sz w:val="20"/>
                <w:szCs w:val="20"/>
              </w:rPr>
              <w:t xml:space="preserve">initial </w:t>
            </w:r>
            <w:r w:rsidR="00ED7D0A" w:rsidRPr="00B65080">
              <w:rPr>
                <w:rFonts w:ascii="Arial" w:hAnsi="Arial" w:cs="Arial"/>
                <w:b/>
                <w:bCs/>
                <w:sz w:val="20"/>
                <w:szCs w:val="20"/>
              </w:rPr>
              <w:t>reporting dates</w:t>
            </w:r>
            <w:r w:rsidR="0074152E" w:rsidRPr="00B65080">
              <w:rPr>
                <w:rFonts w:ascii="Arial" w:hAnsi="Arial" w:cs="Arial"/>
                <w:b/>
                <w:bCs/>
                <w:sz w:val="20"/>
                <w:szCs w:val="20"/>
              </w:rPr>
              <w:t xml:space="preserve"> </w:t>
            </w:r>
            <w:r w:rsidR="004D2876" w:rsidRPr="00B65080">
              <w:rPr>
                <w:rFonts w:ascii="Arial" w:hAnsi="Arial" w:cs="Arial"/>
                <w:b/>
                <w:bCs/>
                <w:sz w:val="20"/>
                <w:szCs w:val="20"/>
              </w:rPr>
              <w:t>outlin</w:t>
            </w:r>
            <w:r w:rsidR="0074152E" w:rsidRPr="00B65080">
              <w:rPr>
                <w:rFonts w:ascii="Arial" w:hAnsi="Arial" w:cs="Arial"/>
                <w:b/>
                <w:bCs/>
                <w:sz w:val="20"/>
                <w:szCs w:val="20"/>
              </w:rPr>
              <w:t>ed by the legislature</w:t>
            </w:r>
            <w:r w:rsidR="00691C59" w:rsidRPr="00B65080">
              <w:rPr>
                <w:rFonts w:ascii="Arial" w:hAnsi="Arial" w:cs="Arial"/>
                <w:sz w:val="20"/>
                <w:szCs w:val="20"/>
              </w:rPr>
              <w:t>.</w:t>
            </w:r>
          </w:p>
          <w:p w:rsidR="00CE0D51" w:rsidRPr="00B65080" w:rsidRDefault="00CE0D51" w:rsidP="00CE0D51">
            <w:pPr>
              <w:pStyle w:val="ListParagraph"/>
              <w:rPr>
                <w:rFonts w:ascii="Arial" w:hAnsi="Arial" w:cs="Arial"/>
                <w:sz w:val="20"/>
                <w:szCs w:val="20"/>
              </w:rPr>
            </w:pPr>
          </w:p>
        </w:tc>
        <w:tc>
          <w:tcPr>
            <w:tcW w:w="4032" w:type="dxa"/>
          </w:tcPr>
          <w:p w:rsidR="00FF19C7" w:rsidRPr="00B65080" w:rsidRDefault="00691C59" w:rsidP="00691C59">
            <w:pPr>
              <w:rPr>
                <w:rFonts w:ascii="Arial" w:hAnsi="Arial" w:cs="Arial"/>
                <w:sz w:val="20"/>
                <w:szCs w:val="20"/>
              </w:rPr>
            </w:pPr>
            <w:r w:rsidRPr="00B65080">
              <w:rPr>
                <w:rFonts w:ascii="Arial" w:hAnsi="Arial" w:cs="Arial"/>
                <w:sz w:val="20"/>
                <w:szCs w:val="20"/>
              </w:rPr>
              <w:t xml:space="preserve">Not covered by existing CARB guidance on enforcement relief. </w:t>
            </w:r>
          </w:p>
          <w:p w:rsidR="00FF19C7" w:rsidRPr="00B65080" w:rsidRDefault="00FF19C7" w:rsidP="00691C59">
            <w:pPr>
              <w:rPr>
                <w:rFonts w:ascii="Arial" w:hAnsi="Arial" w:cs="Arial"/>
                <w:sz w:val="20"/>
                <w:szCs w:val="20"/>
              </w:rPr>
            </w:pPr>
          </w:p>
          <w:p w:rsidR="00FF19C7" w:rsidRPr="00B65080" w:rsidRDefault="00691C59" w:rsidP="00691C59">
            <w:pPr>
              <w:rPr>
                <w:rFonts w:ascii="Arial" w:hAnsi="Arial" w:cs="Arial"/>
                <w:sz w:val="20"/>
                <w:szCs w:val="20"/>
              </w:rPr>
            </w:pPr>
            <w:r w:rsidRPr="00B65080">
              <w:rPr>
                <w:rFonts w:ascii="Arial" w:hAnsi="Arial" w:cs="Arial"/>
                <w:sz w:val="20"/>
                <w:szCs w:val="20"/>
              </w:rPr>
              <w:t xml:space="preserve">For example, the </w:t>
            </w:r>
            <w:hyperlink r:id="rId5" w:history="1">
              <w:r w:rsidRPr="00B65080">
                <w:rPr>
                  <w:rStyle w:val="Hyperlink"/>
                  <w:rFonts w:ascii="Arial" w:hAnsi="Arial" w:cs="Arial"/>
                  <w:sz w:val="20"/>
                  <w:szCs w:val="20"/>
                </w:rPr>
                <w:t xml:space="preserve">December 2024 </w:t>
              </w:r>
              <w:r w:rsidR="00B35D51" w:rsidRPr="00B65080">
                <w:rPr>
                  <w:rStyle w:val="Hyperlink"/>
                  <w:rFonts w:ascii="Arial" w:hAnsi="Arial" w:cs="Arial"/>
                  <w:sz w:val="20"/>
                  <w:szCs w:val="20"/>
                </w:rPr>
                <w:t xml:space="preserve">CARB </w:t>
              </w:r>
              <w:r w:rsidRPr="00B65080">
                <w:rPr>
                  <w:rStyle w:val="Hyperlink"/>
                  <w:rFonts w:ascii="Arial" w:hAnsi="Arial" w:cs="Arial"/>
                  <w:sz w:val="20"/>
                  <w:szCs w:val="20"/>
                </w:rPr>
                <w:t>enforcement notice re: SB 253</w:t>
              </w:r>
            </w:hyperlink>
            <w:r w:rsidRPr="00B65080">
              <w:rPr>
                <w:rFonts w:ascii="Arial" w:hAnsi="Arial" w:cs="Arial"/>
                <w:sz w:val="20"/>
                <w:szCs w:val="20"/>
              </w:rPr>
              <w:t xml:space="preserve"> </w:t>
            </w:r>
            <w:r w:rsidR="00B35D51" w:rsidRPr="00B65080">
              <w:rPr>
                <w:rFonts w:ascii="Arial" w:hAnsi="Arial" w:cs="Arial"/>
                <w:sz w:val="20"/>
                <w:szCs w:val="20"/>
              </w:rPr>
              <w:t>states that “</w:t>
            </w:r>
            <w:r w:rsidRPr="00B65080">
              <w:rPr>
                <w:rFonts w:ascii="Arial" w:hAnsi="Arial" w:cs="Arial"/>
                <w:sz w:val="20"/>
                <w:szCs w:val="20"/>
              </w:rPr>
              <w:t>CARB will not take enforcement action for</w:t>
            </w:r>
            <w:r w:rsidR="00B35D51" w:rsidRPr="00B65080">
              <w:rPr>
                <w:rFonts w:ascii="Arial" w:hAnsi="Arial" w:cs="Arial"/>
                <w:sz w:val="20"/>
                <w:szCs w:val="20"/>
              </w:rPr>
              <w:t xml:space="preserve"> </w:t>
            </w:r>
            <w:r w:rsidR="00B35D51" w:rsidRPr="00B65080">
              <w:rPr>
                <w:rFonts w:ascii="Arial" w:hAnsi="Arial" w:cs="Arial"/>
                <w:b/>
                <w:bCs/>
                <w:sz w:val="20"/>
                <w:szCs w:val="20"/>
              </w:rPr>
              <w:t>in</w:t>
            </w:r>
            <w:r w:rsidRPr="00B65080">
              <w:rPr>
                <w:rFonts w:ascii="Arial" w:hAnsi="Arial" w:cs="Arial"/>
                <w:b/>
                <w:bCs/>
                <w:sz w:val="20"/>
                <w:szCs w:val="20"/>
              </w:rPr>
              <w:t>complete reporting</w:t>
            </w:r>
            <w:r w:rsidRPr="00B65080">
              <w:rPr>
                <w:rFonts w:ascii="Arial" w:hAnsi="Arial" w:cs="Arial"/>
                <w:sz w:val="20"/>
                <w:szCs w:val="20"/>
              </w:rPr>
              <w:t xml:space="preserve"> against entities</w:t>
            </w:r>
            <w:r w:rsidR="00B35D51" w:rsidRPr="00B65080">
              <w:rPr>
                <w:rFonts w:ascii="Arial" w:hAnsi="Arial" w:cs="Arial"/>
                <w:sz w:val="20"/>
                <w:szCs w:val="20"/>
              </w:rPr>
              <w:t>” (emphasis added) for the first SB 253 report.</w:t>
            </w:r>
            <w:r w:rsidR="0074152E" w:rsidRPr="00B65080">
              <w:rPr>
                <w:rFonts w:ascii="Arial" w:hAnsi="Arial" w:cs="Arial"/>
                <w:sz w:val="20"/>
                <w:szCs w:val="20"/>
              </w:rPr>
              <w:t xml:space="preserve"> </w:t>
            </w:r>
          </w:p>
          <w:p w:rsidR="00FF19C7" w:rsidRPr="00B65080" w:rsidRDefault="00FF19C7" w:rsidP="00691C59">
            <w:pPr>
              <w:rPr>
                <w:rFonts w:ascii="Arial" w:hAnsi="Arial" w:cs="Arial"/>
                <w:sz w:val="20"/>
                <w:szCs w:val="20"/>
              </w:rPr>
            </w:pPr>
          </w:p>
          <w:p w:rsidR="00691C59" w:rsidRPr="00B65080" w:rsidRDefault="0074152E" w:rsidP="00691C59">
            <w:pPr>
              <w:rPr>
                <w:rFonts w:ascii="Arial" w:hAnsi="Arial" w:cs="Arial"/>
                <w:sz w:val="20"/>
                <w:szCs w:val="20"/>
              </w:rPr>
            </w:pPr>
            <w:r w:rsidRPr="00B65080">
              <w:rPr>
                <w:rFonts w:ascii="Arial" w:hAnsi="Arial" w:cs="Arial"/>
                <w:sz w:val="20"/>
                <w:szCs w:val="20"/>
              </w:rPr>
              <w:t xml:space="preserve">The </w:t>
            </w:r>
            <w:hyperlink r:id="rId6" w:history="1">
              <w:r w:rsidRPr="00B65080">
                <w:rPr>
                  <w:rStyle w:val="Hyperlink"/>
                  <w:rFonts w:ascii="Arial" w:hAnsi="Arial" w:cs="Arial"/>
                  <w:sz w:val="20"/>
                  <w:szCs w:val="20"/>
                </w:rPr>
                <w:t>July 2025 CARB FAQs</w:t>
              </w:r>
            </w:hyperlink>
            <w:r w:rsidRPr="00B65080">
              <w:rPr>
                <w:rFonts w:ascii="Arial" w:hAnsi="Arial" w:cs="Arial"/>
                <w:sz w:val="20"/>
                <w:szCs w:val="20"/>
              </w:rPr>
              <w:t xml:space="preserve"> </w:t>
            </w:r>
            <w:r w:rsidR="00FF19C7" w:rsidRPr="00B65080">
              <w:rPr>
                <w:rFonts w:ascii="Arial" w:hAnsi="Arial" w:cs="Arial"/>
                <w:sz w:val="20"/>
                <w:szCs w:val="20"/>
              </w:rPr>
              <w:t xml:space="preserve">acknowledge that non-CA entities </w:t>
            </w:r>
            <w:r w:rsidR="00FF19C7" w:rsidRPr="00B65080">
              <w:rPr>
                <w:rFonts w:ascii="Arial" w:hAnsi="Arial" w:cs="Arial"/>
                <w:b/>
                <w:i/>
                <w:sz w:val="20"/>
                <w:szCs w:val="20"/>
              </w:rPr>
              <w:t xml:space="preserve">may </w:t>
            </w:r>
            <w:r w:rsidR="00FF19C7" w:rsidRPr="00B65080">
              <w:rPr>
                <w:rFonts w:ascii="Arial" w:hAnsi="Arial" w:cs="Arial"/>
                <w:sz w:val="20"/>
                <w:szCs w:val="20"/>
              </w:rPr>
              <w:t xml:space="preserve">be in scope depending on “the company’s circumstances and how the applicability provisions are ultimately drafted,” but do not specify any enforcement relief to address the uncertainty. Re: </w:t>
            </w:r>
            <w:r w:rsidRPr="00B65080">
              <w:rPr>
                <w:rFonts w:ascii="Arial" w:hAnsi="Arial" w:cs="Arial"/>
                <w:sz w:val="20"/>
                <w:szCs w:val="20"/>
              </w:rPr>
              <w:t xml:space="preserve">SB 261, </w:t>
            </w:r>
            <w:r w:rsidR="00FF19C7" w:rsidRPr="00B65080">
              <w:rPr>
                <w:rFonts w:ascii="Arial" w:hAnsi="Arial" w:cs="Arial"/>
                <w:sz w:val="20"/>
                <w:szCs w:val="20"/>
              </w:rPr>
              <w:t xml:space="preserve">the FAQs </w:t>
            </w:r>
            <w:r w:rsidRPr="00B65080">
              <w:rPr>
                <w:rFonts w:ascii="Arial" w:hAnsi="Arial" w:cs="Arial"/>
                <w:sz w:val="20"/>
                <w:szCs w:val="20"/>
              </w:rPr>
              <w:t xml:space="preserve">state generally that </w:t>
            </w:r>
            <w:r w:rsidR="00B65080" w:rsidRPr="00B65080">
              <w:rPr>
                <w:rFonts w:ascii="Arial" w:hAnsi="Arial" w:cs="Arial"/>
                <w:sz w:val="20"/>
                <w:szCs w:val="20"/>
              </w:rPr>
              <w:t>“‘good</w:t>
            </w:r>
            <w:r w:rsidRPr="00B65080">
              <w:rPr>
                <w:rFonts w:ascii="Arial" w:hAnsi="Arial" w:cs="Arial"/>
                <w:sz w:val="20"/>
                <w:szCs w:val="20"/>
              </w:rPr>
              <w:t xml:space="preserve"> faith’ consideration is part of CARB’s enforcement discretion in considering penalties for reporting violations” under SB 261. </w:t>
            </w:r>
            <w:r w:rsidR="00A5495C" w:rsidRPr="00B65080">
              <w:rPr>
                <w:rFonts w:ascii="Arial" w:hAnsi="Arial" w:cs="Arial"/>
                <w:sz w:val="20"/>
                <w:szCs w:val="20"/>
              </w:rPr>
              <w:t xml:space="preserve"> </w:t>
            </w:r>
          </w:p>
          <w:p w:rsidR="00691C59" w:rsidRPr="00B65080" w:rsidRDefault="00691C59" w:rsidP="00D570C8">
            <w:pPr>
              <w:rPr>
                <w:rFonts w:ascii="Arial" w:hAnsi="Arial" w:cs="Arial"/>
                <w:sz w:val="20"/>
                <w:szCs w:val="20"/>
              </w:rPr>
            </w:pPr>
          </w:p>
        </w:tc>
        <w:tc>
          <w:tcPr>
            <w:tcW w:w="5868" w:type="dxa"/>
          </w:tcPr>
          <w:p w:rsidR="00B35D51" w:rsidRPr="00B65080" w:rsidRDefault="00691C59" w:rsidP="00691C59">
            <w:pPr>
              <w:rPr>
                <w:rFonts w:ascii="Arial" w:hAnsi="Arial" w:cs="Arial"/>
                <w:sz w:val="20"/>
                <w:szCs w:val="20"/>
              </w:rPr>
            </w:pPr>
            <w:r w:rsidRPr="00B65080">
              <w:rPr>
                <w:rFonts w:ascii="Arial" w:hAnsi="Arial" w:cs="Arial"/>
                <w:sz w:val="20"/>
                <w:szCs w:val="20"/>
              </w:rPr>
              <w:t xml:space="preserve">Clarify that “good faith compliance” for purposes of both SB 253 and SB 261 includes an entity’s </w:t>
            </w:r>
            <w:r w:rsidRPr="00B65080">
              <w:rPr>
                <w:rFonts w:ascii="Arial" w:hAnsi="Arial" w:cs="Arial"/>
                <w:b/>
                <w:bCs/>
                <w:sz w:val="20"/>
                <w:szCs w:val="20"/>
              </w:rPr>
              <w:t>good faith interpretation of whether it is in</w:t>
            </w:r>
            <w:r w:rsidR="00A1021D" w:rsidRPr="00B65080">
              <w:rPr>
                <w:rFonts w:ascii="Arial" w:hAnsi="Arial" w:cs="Arial"/>
                <w:b/>
                <w:bCs/>
                <w:sz w:val="20"/>
                <w:szCs w:val="20"/>
              </w:rPr>
              <w:t xml:space="preserve"> </w:t>
            </w:r>
            <w:r w:rsidRPr="00B65080">
              <w:rPr>
                <w:rFonts w:ascii="Arial" w:hAnsi="Arial" w:cs="Arial"/>
                <w:b/>
                <w:bCs/>
                <w:sz w:val="20"/>
                <w:szCs w:val="20"/>
              </w:rPr>
              <w:t>scope</w:t>
            </w:r>
            <w:r w:rsidRPr="00B65080">
              <w:rPr>
                <w:rFonts w:ascii="Arial" w:hAnsi="Arial" w:cs="Arial"/>
                <w:sz w:val="20"/>
                <w:szCs w:val="20"/>
              </w:rPr>
              <w:t>.</w:t>
            </w:r>
            <w:r w:rsidR="00B35D51" w:rsidRPr="00B65080">
              <w:rPr>
                <w:rFonts w:ascii="Arial" w:hAnsi="Arial" w:cs="Arial"/>
                <w:sz w:val="20"/>
                <w:szCs w:val="20"/>
              </w:rPr>
              <w:t xml:space="preserve"> </w:t>
            </w:r>
          </w:p>
          <w:p w:rsidR="00B35D51" w:rsidRPr="00B65080" w:rsidRDefault="00B35D51" w:rsidP="00691C59">
            <w:pPr>
              <w:rPr>
                <w:rFonts w:ascii="Arial" w:hAnsi="Arial" w:cs="Arial"/>
                <w:sz w:val="20"/>
                <w:szCs w:val="20"/>
              </w:rPr>
            </w:pPr>
          </w:p>
          <w:p w:rsidR="00CE0D51" w:rsidRPr="00B65080" w:rsidRDefault="00B35D51" w:rsidP="00691C59">
            <w:pPr>
              <w:rPr>
                <w:rFonts w:ascii="Arial" w:hAnsi="Arial" w:cs="Arial"/>
                <w:sz w:val="20"/>
                <w:szCs w:val="20"/>
              </w:rPr>
            </w:pPr>
            <w:r w:rsidRPr="00B65080">
              <w:rPr>
                <w:rFonts w:ascii="Arial" w:hAnsi="Arial" w:cs="Arial"/>
                <w:sz w:val="20"/>
                <w:szCs w:val="20"/>
              </w:rPr>
              <w:t>For example, CARB should not take enforcement action against any entity that determines it is not required to report under either SB 253 or SB 261 based on its good faith interpretation of CARB</w:t>
            </w:r>
            <w:r w:rsidR="007409FF" w:rsidRPr="00B65080">
              <w:rPr>
                <w:rFonts w:ascii="Arial" w:hAnsi="Arial" w:cs="Arial"/>
                <w:sz w:val="20"/>
                <w:szCs w:val="20"/>
              </w:rPr>
              <w:t>’s existing</w:t>
            </w:r>
            <w:r w:rsidRPr="00B65080">
              <w:rPr>
                <w:rFonts w:ascii="Arial" w:hAnsi="Arial" w:cs="Arial"/>
                <w:sz w:val="20"/>
                <w:szCs w:val="20"/>
              </w:rPr>
              <w:t xml:space="preserve"> guidance </w:t>
            </w:r>
            <w:r w:rsidR="007409FF" w:rsidRPr="00B65080">
              <w:rPr>
                <w:rFonts w:ascii="Arial" w:hAnsi="Arial" w:cs="Arial"/>
                <w:sz w:val="20"/>
                <w:szCs w:val="20"/>
              </w:rPr>
              <w:t>through</w:t>
            </w:r>
            <w:r w:rsidRPr="00B65080">
              <w:rPr>
                <w:rFonts w:ascii="Arial" w:hAnsi="Arial" w:cs="Arial"/>
                <w:sz w:val="20"/>
                <w:szCs w:val="20"/>
              </w:rPr>
              <w:t xml:space="preserve"> July 2025.</w:t>
            </w:r>
            <w:r w:rsidR="00A5495C" w:rsidRPr="00B65080">
              <w:rPr>
                <w:rFonts w:ascii="Arial" w:hAnsi="Arial" w:cs="Arial"/>
                <w:sz w:val="20"/>
                <w:szCs w:val="20"/>
              </w:rPr>
              <w:t xml:space="preserve"> </w:t>
            </w:r>
          </w:p>
          <w:p w:rsidR="00CE0D51" w:rsidRPr="00B65080" w:rsidRDefault="00CE0D51" w:rsidP="00691C59">
            <w:pPr>
              <w:rPr>
                <w:rFonts w:ascii="Arial" w:hAnsi="Arial" w:cs="Arial"/>
                <w:sz w:val="20"/>
                <w:szCs w:val="20"/>
              </w:rPr>
            </w:pPr>
          </w:p>
          <w:p w:rsidR="001D319C" w:rsidRDefault="001D319C" w:rsidP="00691C59">
            <w:pPr>
              <w:rPr>
                <w:rFonts w:ascii="Arial" w:hAnsi="Arial" w:cs="Arial"/>
                <w:sz w:val="20"/>
                <w:szCs w:val="20"/>
              </w:rPr>
            </w:pPr>
            <w:r>
              <w:rPr>
                <w:rFonts w:ascii="Arial" w:hAnsi="Arial" w:cs="Arial"/>
                <w:sz w:val="20"/>
                <w:szCs w:val="20"/>
              </w:rPr>
              <w:t>To reduce unnecessary compliance risks, also clarify that:</w:t>
            </w:r>
          </w:p>
          <w:p w:rsidR="00691C59" w:rsidRDefault="00481F29" w:rsidP="001D319C">
            <w:pPr>
              <w:pStyle w:val="ListParagraph"/>
              <w:numPr>
                <w:ilvl w:val="0"/>
                <w:numId w:val="3"/>
              </w:numPr>
              <w:rPr>
                <w:rFonts w:ascii="Arial" w:hAnsi="Arial" w:cs="Arial"/>
                <w:sz w:val="20"/>
                <w:szCs w:val="20"/>
              </w:rPr>
            </w:pPr>
            <w:r w:rsidRPr="00481F29">
              <w:rPr>
                <w:rFonts w:ascii="Arial" w:hAnsi="Arial" w:cs="Arial"/>
                <w:sz w:val="20"/>
                <w:szCs w:val="20"/>
              </w:rPr>
              <w:t>For any entity that is neither incorporated nor headquartered in California, CARB</w:t>
            </w:r>
            <w:r w:rsidR="001D319C" w:rsidRPr="001D319C">
              <w:rPr>
                <w:rFonts w:ascii="Arial" w:hAnsi="Arial" w:cs="Arial"/>
                <w:sz w:val="20"/>
                <w:szCs w:val="20"/>
              </w:rPr>
              <w:t xml:space="preserve"> </w:t>
            </w:r>
            <w:r w:rsidR="004A4B95" w:rsidRPr="001D319C">
              <w:rPr>
                <w:rFonts w:ascii="Arial" w:hAnsi="Arial" w:cs="Arial"/>
                <w:sz w:val="20"/>
                <w:szCs w:val="20"/>
              </w:rPr>
              <w:t>would not take enforcement actions</w:t>
            </w:r>
            <w:r w:rsidRPr="00481F29">
              <w:rPr>
                <w:rFonts w:ascii="Arial" w:hAnsi="Arial" w:cs="Arial"/>
                <w:sz w:val="20"/>
                <w:szCs w:val="20"/>
              </w:rPr>
              <w:t xml:space="preserve"> against such an entity unless it (1) is </w:t>
            </w:r>
            <w:r w:rsidRPr="00481F29">
              <w:rPr>
                <w:rFonts w:ascii="Arial" w:hAnsi="Arial" w:cs="Arial"/>
                <w:b/>
                <w:bCs/>
                <w:sz w:val="20"/>
                <w:szCs w:val="20"/>
              </w:rPr>
              <w:t xml:space="preserve">registered with the </w:t>
            </w:r>
            <w:r w:rsidRPr="00481F29">
              <w:rPr>
                <w:rFonts w:ascii="Arial" w:hAnsi="Arial" w:cs="Arial"/>
                <w:sz w:val="20"/>
                <w:szCs w:val="20"/>
              </w:rPr>
              <w:t>CA Secretary of State to transact business, and (2) has not otherwise made a “good faith” compliance effort as further discussed herein</w:t>
            </w:r>
            <w:r w:rsidR="001D319C">
              <w:rPr>
                <w:rFonts w:ascii="Arial" w:hAnsi="Arial" w:cs="Arial"/>
                <w:sz w:val="20"/>
                <w:szCs w:val="20"/>
              </w:rPr>
              <w:t>;</w:t>
            </w:r>
          </w:p>
          <w:p w:rsidR="00000000" w:rsidRDefault="00481F29">
            <w:pPr>
              <w:pStyle w:val="ListParagraph"/>
              <w:numPr>
                <w:ilvl w:val="0"/>
                <w:numId w:val="3"/>
              </w:numPr>
              <w:rPr>
                <w:rFonts w:ascii="Arial" w:hAnsi="Arial" w:cs="Arial"/>
                <w:sz w:val="20"/>
                <w:szCs w:val="20"/>
              </w:rPr>
            </w:pPr>
            <w:r w:rsidRPr="00DE4659">
              <w:rPr>
                <w:rFonts w:ascii="Arial" w:hAnsi="Arial" w:cs="Arial"/>
                <w:sz w:val="20"/>
                <w:szCs w:val="20"/>
              </w:rPr>
              <w:t>CARB would not take enforcement actions</w:t>
            </w:r>
            <w:r w:rsidR="001D319C" w:rsidRPr="00DE4659">
              <w:rPr>
                <w:rFonts w:ascii="Arial" w:hAnsi="Arial" w:cs="Arial"/>
                <w:sz w:val="20"/>
                <w:szCs w:val="20"/>
              </w:rPr>
              <w:t xml:space="preserve"> against any entity that is </w:t>
            </w:r>
            <w:r w:rsidRPr="00DE4659">
              <w:rPr>
                <w:rFonts w:ascii="Arial" w:hAnsi="Arial" w:cs="Arial"/>
                <w:b/>
                <w:bCs/>
                <w:sz w:val="20"/>
                <w:szCs w:val="20"/>
              </w:rPr>
              <w:t>not required to pay</w:t>
            </w:r>
            <w:r w:rsidR="001D319C" w:rsidRPr="00DE4659">
              <w:rPr>
                <w:rFonts w:ascii="Arial" w:hAnsi="Arial" w:cs="Arial"/>
                <w:b/>
                <w:bCs/>
                <w:sz w:val="20"/>
                <w:szCs w:val="20"/>
              </w:rPr>
              <w:t xml:space="preserve"> California</w:t>
            </w:r>
            <w:r w:rsidRPr="00DE4659">
              <w:rPr>
                <w:rFonts w:ascii="Arial" w:hAnsi="Arial" w:cs="Arial"/>
                <w:b/>
                <w:bCs/>
                <w:sz w:val="20"/>
                <w:szCs w:val="20"/>
              </w:rPr>
              <w:t xml:space="preserve"> franchise ta</w:t>
            </w:r>
            <w:r w:rsidR="001D319C" w:rsidRPr="00DE4659">
              <w:rPr>
                <w:rFonts w:ascii="Arial" w:hAnsi="Arial" w:cs="Arial"/>
                <w:b/>
                <w:bCs/>
                <w:sz w:val="20"/>
                <w:szCs w:val="20"/>
              </w:rPr>
              <w:t>x</w:t>
            </w:r>
            <w:r w:rsidRPr="00DE4659">
              <w:rPr>
                <w:rFonts w:ascii="Arial" w:hAnsi="Arial" w:cs="Arial"/>
                <w:b/>
                <w:bCs/>
                <w:sz w:val="20"/>
                <w:szCs w:val="20"/>
              </w:rPr>
              <w:t xml:space="preserve"> in California.</w:t>
            </w:r>
            <w:r w:rsidR="001D319C" w:rsidRPr="00420CB8">
              <w:rPr>
                <w:rFonts w:ascii="Arial" w:hAnsi="Arial" w:cs="Arial"/>
                <w:sz w:val="20"/>
                <w:szCs w:val="20"/>
              </w:rPr>
              <w:t xml:space="preserve">  </w:t>
            </w:r>
          </w:p>
        </w:tc>
      </w:tr>
      <w:tr w:rsidR="00B35D51" w:rsidRPr="00B65080" w:rsidTr="00FF19C7">
        <w:tc>
          <w:tcPr>
            <w:tcW w:w="4680" w:type="dxa"/>
          </w:tcPr>
          <w:p w:rsidR="00CE0D51" w:rsidRPr="00B65080" w:rsidRDefault="00AF098D" w:rsidP="0073165C">
            <w:pPr>
              <w:pStyle w:val="ListParagraph"/>
              <w:numPr>
                <w:ilvl w:val="0"/>
                <w:numId w:val="1"/>
              </w:numPr>
              <w:rPr>
                <w:rFonts w:ascii="Arial" w:hAnsi="Arial" w:cs="Arial"/>
                <w:sz w:val="20"/>
                <w:szCs w:val="20"/>
              </w:rPr>
            </w:pPr>
            <w:r w:rsidRPr="00AF098D">
              <w:rPr>
                <w:rFonts w:ascii="Arial" w:hAnsi="Arial" w:cs="Arial"/>
                <w:b/>
                <w:sz w:val="20"/>
                <w:szCs w:val="20"/>
              </w:rPr>
              <w:t xml:space="preserve">Pending rulemaking to clarify </w:t>
            </w:r>
            <w:proofErr w:type="gramStart"/>
            <w:r w:rsidRPr="00AF098D">
              <w:rPr>
                <w:rFonts w:ascii="Arial" w:hAnsi="Arial" w:cs="Arial"/>
                <w:b/>
                <w:sz w:val="20"/>
                <w:szCs w:val="20"/>
              </w:rPr>
              <w:t>that companies</w:t>
            </w:r>
            <w:proofErr w:type="gramEnd"/>
            <w:r w:rsidRPr="00AF098D">
              <w:rPr>
                <w:rFonts w:ascii="Arial" w:hAnsi="Arial" w:cs="Arial"/>
                <w:b/>
                <w:sz w:val="20"/>
                <w:szCs w:val="20"/>
              </w:rPr>
              <w:t xml:space="preserve"> may report either on a consolidated parent basis or at the level of the in-scope entity, companies are uncertain of what they will need to do to comply. C</w:t>
            </w:r>
            <w:r>
              <w:rPr>
                <w:rFonts w:ascii="Arial" w:hAnsi="Arial" w:cs="Arial"/>
                <w:b/>
                <w:bCs/>
                <w:sz w:val="20"/>
                <w:szCs w:val="20"/>
              </w:rPr>
              <w:t>ompanies</w:t>
            </w:r>
            <w:r w:rsidR="00B35D51" w:rsidRPr="00B65080">
              <w:rPr>
                <w:rFonts w:ascii="Arial" w:hAnsi="Arial" w:cs="Arial"/>
                <w:b/>
                <w:bCs/>
                <w:sz w:val="20"/>
                <w:szCs w:val="20"/>
              </w:rPr>
              <w:t xml:space="preserve"> need lead time to determine </w:t>
            </w:r>
            <w:r w:rsidR="0086313C">
              <w:rPr>
                <w:rFonts w:ascii="Arial" w:hAnsi="Arial" w:cs="Arial"/>
                <w:b/>
                <w:bCs/>
                <w:sz w:val="20"/>
                <w:szCs w:val="20"/>
              </w:rPr>
              <w:t xml:space="preserve">whether and </w:t>
            </w:r>
            <w:r w:rsidR="00B35D51" w:rsidRPr="00B65080">
              <w:rPr>
                <w:rFonts w:ascii="Arial" w:hAnsi="Arial" w:cs="Arial"/>
                <w:b/>
                <w:bCs/>
                <w:sz w:val="20"/>
                <w:szCs w:val="20"/>
              </w:rPr>
              <w:t>which</w:t>
            </w:r>
            <w:r w:rsidR="00A5495C" w:rsidRPr="00B65080">
              <w:rPr>
                <w:rFonts w:ascii="Arial" w:hAnsi="Arial" w:cs="Arial"/>
                <w:b/>
                <w:bCs/>
                <w:sz w:val="20"/>
                <w:szCs w:val="20"/>
              </w:rPr>
              <w:t xml:space="preserve"> </w:t>
            </w:r>
            <w:r w:rsidR="0086313C">
              <w:rPr>
                <w:rFonts w:ascii="Arial" w:hAnsi="Arial" w:cs="Arial"/>
                <w:b/>
                <w:bCs/>
                <w:sz w:val="20"/>
                <w:szCs w:val="20"/>
              </w:rPr>
              <w:t xml:space="preserve">parent/subsidiary </w:t>
            </w:r>
            <w:r w:rsidR="00A5495C" w:rsidRPr="00B65080">
              <w:rPr>
                <w:rFonts w:ascii="Arial" w:hAnsi="Arial" w:cs="Arial"/>
                <w:b/>
                <w:bCs/>
                <w:sz w:val="20"/>
                <w:szCs w:val="20"/>
              </w:rPr>
              <w:t>entity(</w:t>
            </w:r>
            <w:proofErr w:type="spellStart"/>
            <w:r w:rsidR="00A5495C" w:rsidRPr="00B65080">
              <w:rPr>
                <w:rFonts w:ascii="Arial" w:hAnsi="Arial" w:cs="Arial"/>
                <w:b/>
                <w:bCs/>
                <w:sz w:val="20"/>
                <w:szCs w:val="20"/>
              </w:rPr>
              <w:t>ies</w:t>
            </w:r>
            <w:proofErr w:type="spellEnd"/>
            <w:r w:rsidR="00A5495C" w:rsidRPr="00B65080">
              <w:rPr>
                <w:rFonts w:ascii="Arial" w:hAnsi="Arial" w:cs="Arial"/>
                <w:b/>
                <w:bCs/>
                <w:sz w:val="20"/>
                <w:szCs w:val="20"/>
              </w:rPr>
              <w:t>)</w:t>
            </w:r>
            <w:r w:rsidR="00B35D51" w:rsidRPr="00B65080">
              <w:rPr>
                <w:rFonts w:ascii="Arial" w:hAnsi="Arial" w:cs="Arial"/>
                <w:b/>
                <w:bCs/>
                <w:sz w:val="20"/>
                <w:szCs w:val="20"/>
              </w:rPr>
              <w:t xml:space="preserve"> will need to </w:t>
            </w:r>
            <w:r w:rsidR="00A5495C" w:rsidRPr="00B65080">
              <w:rPr>
                <w:rFonts w:ascii="Arial" w:hAnsi="Arial" w:cs="Arial"/>
                <w:b/>
                <w:bCs/>
                <w:sz w:val="20"/>
                <w:szCs w:val="20"/>
              </w:rPr>
              <w:t xml:space="preserve">or may be permitted to </w:t>
            </w:r>
            <w:r w:rsidR="00B35D51" w:rsidRPr="00B65080">
              <w:rPr>
                <w:rFonts w:ascii="Arial" w:hAnsi="Arial" w:cs="Arial"/>
                <w:b/>
                <w:bCs/>
                <w:sz w:val="20"/>
                <w:szCs w:val="20"/>
              </w:rPr>
              <w:t>report</w:t>
            </w:r>
            <w:r w:rsidR="00ED7D0A" w:rsidRPr="00B65080">
              <w:rPr>
                <w:rFonts w:ascii="Arial" w:hAnsi="Arial" w:cs="Arial"/>
                <w:b/>
                <w:bCs/>
                <w:sz w:val="20"/>
                <w:szCs w:val="20"/>
              </w:rPr>
              <w:t>, and to prepare</w:t>
            </w:r>
            <w:r w:rsidR="00E42C71" w:rsidRPr="00B65080">
              <w:rPr>
                <w:rFonts w:ascii="Arial" w:hAnsi="Arial" w:cs="Arial"/>
                <w:b/>
                <w:bCs/>
                <w:sz w:val="20"/>
                <w:szCs w:val="20"/>
              </w:rPr>
              <w:t xml:space="preserve"> any</w:t>
            </w:r>
            <w:r w:rsidR="00ED7D0A" w:rsidRPr="00B65080">
              <w:rPr>
                <w:rFonts w:ascii="Arial" w:hAnsi="Arial" w:cs="Arial"/>
                <w:b/>
                <w:bCs/>
                <w:sz w:val="20"/>
                <w:szCs w:val="20"/>
              </w:rPr>
              <w:t xml:space="preserve"> such disclosures in advance of the </w:t>
            </w:r>
            <w:r w:rsidR="00FF19C7" w:rsidRPr="00B65080">
              <w:rPr>
                <w:rFonts w:ascii="Arial" w:hAnsi="Arial" w:cs="Arial"/>
                <w:b/>
                <w:bCs/>
                <w:sz w:val="20"/>
                <w:szCs w:val="20"/>
              </w:rPr>
              <w:t xml:space="preserve">initial </w:t>
            </w:r>
            <w:r w:rsidR="00ED7D0A" w:rsidRPr="00B65080">
              <w:rPr>
                <w:rFonts w:ascii="Arial" w:hAnsi="Arial" w:cs="Arial"/>
                <w:b/>
                <w:bCs/>
                <w:sz w:val="20"/>
                <w:szCs w:val="20"/>
              </w:rPr>
              <w:t>reporting date</w:t>
            </w:r>
            <w:r w:rsidR="00A5495C" w:rsidRPr="00B65080">
              <w:rPr>
                <w:rFonts w:ascii="Arial" w:hAnsi="Arial" w:cs="Arial"/>
                <w:b/>
                <w:bCs/>
                <w:sz w:val="20"/>
                <w:szCs w:val="20"/>
              </w:rPr>
              <w:t>s</w:t>
            </w:r>
            <w:r w:rsidR="00FF19C7" w:rsidRPr="00B65080">
              <w:rPr>
                <w:rFonts w:ascii="Arial" w:hAnsi="Arial" w:cs="Arial"/>
                <w:b/>
                <w:bCs/>
                <w:sz w:val="20"/>
                <w:szCs w:val="20"/>
              </w:rPr>
              <w:t xml:space="preserve"> </w:t>
            </w:r>
            <w:r w:rsidR="004D2876" w:rsidRPr="00B65080">
              <w:rPr>
                <w:rFonts w:ascii="Arial" w:hAnsi="Arial" w:cs="Arial"/>
                <w:b/>
                <w:bCs/>
                <w:sz w:val="20"/>
                <w:szCs w:val="20"/>
              </w:rPr>
              <w:t>outlin</w:t>
            </w:r>
            <w:r w:rsidR="00FF19C7" w:rsidRPr="00B65080">
              <w:rPr>
                <w:rFonts w:ascii="Arial" w:hAnsi="Arial" w:cs="Arial"/>
                <w:b/>
                <w:bCs/>
                <w:sz w:val="20"/>
                <w:szCs w:val="20"/>
              </w:rPr>
              <w:t>ed by the legislature</w:t>
            </w:r>
            <w:r w:rsidR="00B35D51" w:rsidRPr="00B65080">
              <w:rPr>
                <w:rFonts w:ascii="Arial" w:hAnsi="Arial" w:cs="Arial"/>
                <w:b/>
                <w:bCs/>
                <w:sz w:val="20"/>
                <w:szCs w:val="20"/>
              </w:rPr>
              <w:t>.</w:t>
            </w:r>
            <w:r w:rsidR="00CE0D51" w:rsidRPr="00B65080">
              <w:rPr>
                <w:rFonts w:ascii="Arial" w:hAnsi="Arial" w:cs="Arial"/>
                <w:b/>
                <w:bCs/>
                <w:sz w:val="20"/>
                <w:szCs w:val="20"/>
              </w:rPr>
              <w:br/>
            </w:r>
          </w:p>
        </w:tc>
        <w:tc>
          <w:tcPr>
            <w:tcW w:w="4032" w:type="dxa"/>
          </w:tcPr>
          <w:p w:rsidR="00B35D51" w:rsidRPr="00B65080" w:rsidRDefault="00B35D51" w:rsidP="00B35D51">
            <w:pPr>
              <w:rPr>
                <w:rFonts w:ascii="Arial" w:hAnsi="Arial" w:cs="Arial"/>
                <w:sz w:val="20"/>
                <w:szCs w:val="20"/>
              </w:rPr>
            </w:pPr>
            <w:r w:rsidRPr="00B65080">
              <w:rPr>
                <w:rFonts w:ascii="Arial" w:hAnsi="Arial" w:cs="Arial"/>
                <w:sz w:val="20"/>
                <w:szCs w:val="20"/>
              </w:rPr>
              <w:lastRenderedPageBreak/>
              <w:t xml:space="preserve">Not </w:t>
            </w:r>
            <w:r w:rsidR="007F5062" w:rsidRPr="00B65080">
              <w:rPr>
                <w:rFonts w:ascii="Arial" w:hAnsi="Arial" w:cs="Arial"/>
                <w:sz w:val="20"/>
                <w:szCs w:val="20"/>
              </w:rPr>
              <w:t xml:space="preserve">expressly </w:t>
            </w:r>
            <w:r w:rsidRPr="00B65080">
              <w:rPr>
                <w:rFonts w:ascii="Arial" w:hAnsi="Arial" w:cs="Arial"/>
                <w:sz w:val="20"/>
                <w:szCs w:val="20"/>
              </w:rPr>
              <w:t xml:space="preserve">covered by existing CARB guidance on enforcement relief. </w:t>
            </w:r>
            <w:r w:rsidR="00ED7D0A" w:rsidRPr="00B65080">
              <w:rPr>
                <w:rFonts w:ascii="Arial" w:hAnsi="Arial" w:cs="Arial"/>
                <w:sz w:val="20"/>
                <w:szCs w:val="20"/>
              </w:rPr>
              <w:t>See above.</w:t>
            </w:r>
          </w:p>
        </w:tc>
        <w:tc>
          <w:tcPr>
            <w:tcW w:w="5868" w:type="dxa"/>
          </w:tcPr>
          <w:p w:rsidR="00420CB8" w:rsidRPr="00420CB8" w:rsidRDefault="007F5062" w:rsidP="00420CB8">
            <w:pPr>
              <w:rPr>
                <w:rFonts w:ascii="Arial" w:hAnsi="Arial" w:cs="Arial"/>
                <w:sz w:val="20"/>
                <w:szCs w:val="20"/>
              </w:rPr>
            </w:pPr>
            <w:r w:rsidRPr="00B65080">
              <w:rPr>
                <w:rFonts w:ascii="Arial" w:hAnsi="Arial" w:cs="Arial"/>
                <w:sz w:val="20"/>
                <w:szCs w:val="20"/>
              </w:rPr>
              <w:t xml:space="preserve">See above. Where (a) a parent or subsidiary of an entity has provided reporting under SB 253 or SB 261, and (b) the entity </w:t>
            </w:r>
            <w:r w:rsidR="00B35D51" w:rsidRPr="00B65080">
              <w:rPr>
                <w:rFonts w:ascii="Arial" w:hAnsi="Arial" w:cs="Arial"/>
                <w:sz w:val="20"/>
                <w:szCs w:val="20"/>
              </w:rPr>
              <w:t xml:space="preserve">determines </w:t>
            </w:r>
            <w:r w:rsidRPr="00B65080">
              <w:rPr>
                <w:rFonts w:ascii="Arial" w:hAnsi="Arial" w:cs="Arial"/>
                <w:sz w:val="20"/>
                <w:szCs w:val="20"/>
              </w:rPr>
              <w:t>that it is not required to produce a separate report</w:t>
            </w:r>
            <w:r w:rsidR="004D2876" w:rsidRPr="00B65080">
              <w:rPr>
                <w:rFonts w:ascii="Arial" w:hAnsi="Arial" w:cs="Arial"/>
                <w:sz w:val="20"/>
                <w:szCs w:val="20"/>
              </w:rPr>
              <w:t xml:space="preserve"> (in each case of (a) and (b)</w:t>
            </w:r>
            <w:r w:rsidR="00B65080" w:rsidRPr="00B65080">
              <w:rPr>
                <w:rFonts w:ascii="Arial" w:hAnsi="Arial" w:cs="Arial"/>
                <w:sz w:val="20"/>
                <w:szCs w:val="20"/>
              </w:rPr>
              <w:t>, based</w:t>
            </w:r>
            <w:r w:rsidRPr="00B65080">
              <w:rPr>
                <w:rFonts w:ascii="Arial" w:hAnsi="Arial" w:cs="Arial"/>
                <w:sz w:val="20"/>
                <w:szCs w:val="20"/>
              </w:rPr>
              <w:t xml:space="preserve"> </w:t>
            </w:r>
            <w:r w:rsidR="00B35D51" w:rsidRPr="00B65080">
              <w:rPr>
                <w:rFonts w:ascii="Arial" w:hAnsi="Arial" w:cs="Arial"/>
                <w:sz w:val="20"/>
                <w:szCs w:val="20"/>
              </w:rPr>
              <w:t>on</w:t>
            </w:r>
            <w:r w:rsidR="004D2876" w:rsidRPr="00B65080">
              <w:rPr>
                <w:rFonts w:ascii="Arial" w:hAnsi="Arial" w:cs="Arial"/>
                <w:sz w:val="20"/>
                <w:szCs w:val="20"/>
              </w:rPr>
              <w:t xml:space="preserve"> </w:t>
            </w:r>
            <w:r w:rsidR="00B35D51" w:rsidRPr="00B65080">
              <w:rPr>
                <w:rFonts w:ascii="Arial" w:hAnsi="Arial" w:cs="Arial"/>
                <w:sz w:val="20"/>
                <w:szCs w:val="20"/>
              </w:rPr>
              <w:t>good faith interpretation</w:t>
            </w:r>
            <w:r w:rsidR="004D2876" w:rsidRPr="00B65080">
              <w:rPr>
                <w:rFonts w:ascii="Arial" w:hAnsi="Arial" w:cs="Arial"/>
                <w:sz w:val="20"/>
                <w:szCs w:val="20"/>
              </w:rPr>
              <w:t>s</w:t>
            </w:r>
            <w:r w:rsidR="00B35D51" w:rsidRPr="00B65080">
              <w:rPr>
                <w:rFonts w:ascii="Arial" w:hAnsi="Arial" w:cs="Arial"/>
                <w:sz w:val="20"/>
                <w:szCs w:val="20"/>
              </w:rPr>
              <w:t xml:space="preserve"> of CARB</w:t>
            </w:r>
            <w:r w:rsidR="007409FF" w:rsidRPr="00B65080">
              <w:rPr>
                <w:rFonts w:ascii="Arial" w:hAnsi="Arial" w:cs="Arial"/>
                <w:sz w:val="20"/>
                <w:szCs w:val="20"/>
              </w:rPr>
              <w:t>’s existing</w:t>
            </w:r>
            <w:r w:rsidR="00B35D51" w:rsidRPr="00B65080">
              <w:rPr>
                <w:rFonts w:ascii="Arial" w:hAnsi="Arial" w:cs="Arial"/>
                <w:sz w:val="20"/>
                <w:szCs w:val="20"/>
              </w:rPr>
              <w:t xml:space="preserve"> guidance </w:t>
            </w:r>
            <w:r w:rsidR="007409FF" w:rsidRPr="00B65080">
              <w:rPr>
                <w:rFonts w:ascii="Arial" w:hAnsi="Arial" w:cs="Arial"/>
                <w:sz w:val="20"/>
                <w:szCs w:val="20"/>
              </w:rPr>
              <w:t>through</w:t>
            </w:r>
            <w:r w:rsidR="00B35D51" w:rsidRPr="00B65080">
              <w:rPr>
                <w:rFonts w:ascii="Arial" w:hAnsi="Arial" w:cs="Arial"/>
                <w:sz w:val="20"/>
                <w:szCs w:val="20"/>
              </w:rPr>
              <w:t xml:space="preserve"> July 2025</w:t>
            </w:r>
            <w:r w:rsidR="004D2876" w:rsidRPr="00B65080">
              <w:rPr>
                <w:rFonts w:ascii="Arial" w:hAnsi="Arial" w:cs="Arial"/>
                <w:sz w:val="20"/>
                <w:szCs w:val="20"/>
              </w:rPr>
              <w:t>)</w:t>
            </w:r>
            <w:r w:rsidRPr="00B65080">
              <w:rPr>
                <w:rFonts w:ascii="Arial" w:hAnsi="Arial" w:cs="Arial"/>
                <w:sz w:val="20"/>
                <w:szCs w:val="20"/>
              </w:rPr>
              <w:t xml:space="preserve">, </w:t>
            </w:r>
            <w:r w:rsidRPr="00B65080">
              <w:rPr>
                <w:rFonts w:ascii="Arial" w:hAnsi="Arial" w:cs="Arial"/>
                <w:b/>
                <w:bCs/>
                <w:sz w:val="20"/>
                <w:szCs w:val="20"/>
              </w:rPr>
              <w:t>CARB should not take enforcement action against such entity for failing to separately report</w:t>
            </w:r>
            <w:r w:rsidRPr="00B65080">
              <w:rPr>
                <w:rFonts w:ascii="Arial" w:hAnsi="Arial" w:cs="Arial"/>
                <w:sz w:val="20"/>
                <w:szCs w:val="20"/>
              </w:rPr>
              <w:t xml:space="preserve"> even if CARB’s rulemaking ultimately requires such separate reporting.</w:t>
            </w:r>
          </w:p>
        </w:tc>
      </w:tr>
      <w:tr w:rsidR="007409FF" w:rsidRPr="00B65080" w:rsidTr="00FF19C7">
        <w:tc>
          <w:tcPr>
            <w:tcW w:w="4680" w:type="dxa"/>
          </w:tcPr>
          <w:p w:rsidR="007409FF" w:rsidRPr="00B65080" w:rsidRDefault="007409FF" w:rsidP="00A5495C">
            <w:pPr>
              <w:pStyle w:val="ListParagraph"/>
              <w:numPr>
                <w:ilvl w:val="0"/>
                <w:numId w:val="1"/>
              </w:numPr>
              <w:rPr>
                <w:rFonts w:ascii="Arial" w:hAnsi="Arial" w:cs="Arial"/>
                <w:sz w:val="20"/>
                <w:szCs w:val="20"/>
              </w:rPr>
            </w:pPr>
            <w:r w:rsidRPr="00B65080">
              <w:rPr>
                <w:rFonts w:ascii="Arial" w:hAnsi="Arial" w:cs="Arial"/>
                <w:b/>
                <w:bCs/>
                <w:sz w:val="20"/>
                <w:szCs w:val="20"/>
              </w:rPr>
              <w:lastRenderedPageBreak/>
              <w:t xml:space="preserve">[SB 261] </w:t>
            </w:r>
            <w:r w:rsidRPr="00B65080">
              <w:rPr>
                <w:rFonts w:ascii="Arial" w:hAnsi="Arial" w:cs="Arial"/>
                <w:sz w:val="20"/>
                <w:szCs w:val="20"/>
              </w:rPr>
              <w:t xml:space="preserve">In-scope companies need lead time to </w:t>
            </w:r>
            <w:r w:rsidRPr="00B65080">
              <w:rPr>
                <w:rFonts w:ascii="Arial" w:hAnsi="Arial" w:cs="Arial"/>
                <w:b/>
                <w:bCs/>
                <w:sz w:val="20"/>
                <w:szCs w:val="20"/>
              </w:rPr>
              <w:t>align TCFD reporting with CARB’s expectations</w:t>
            </w:r>
            <w:r w:rsidRPr="00B65080">
              <w:rPr>
                <w:rFonts w:ascii="Arial" w:hAnsi="Arial" w:cs="Arial"/>
                <w:sz w:val="20"/>
                <w:szCs w:val="20"/>
              </w:rPr>
              <w:t>.</w:t>
            </w:r>
          </w:p>
        </w:tc>
        <w:tc>
          <w:tcPr>
            <w:tcW w:w="4032" w:type="dxa"/>
          </w:tcPr>
          <w:p w:rsidR="007409FF" w:rsidRPr="00B65080" w:rsidRDefault="007409FF" w:rsidP="007409FF">
            <w:pPr>
              <w:rPr>
                <w:rFonts w:ascii="Arial" w:hAnsi="Arial" w:cs="Arial"/>
                <w:sz w:val="20"/>
                <w:szCs w:val="20"/>
              </w:rPr>
            </w:pPr>
            <w:r w:rsidRPr="00B65080">
              <w:rPr>
                <w:rFonts w:ascii="Arial" w:hAnsi="Arial" w:cs="Arial"/>
                <w:sz w:val="20"/>
                <w:szCs w:val="20"/>
              </w:rPr>
              <w:t>Generally.</w:t>
            </w:r>
          </w:p>
          <w:p w:rsidR="007409FF" w:rsidRPr="00B65080" w:rsidRDefault="007409FF" w:rsidP="007409FF">
            <w:pPr>
              <w:rPr>
                <w:rFonts w:ascii="Arial" w:hAnsi="Arial" w:cs="Arial"/>
                <w:sz w:val="20"/>
                <w:szCs w:val="20"/>
              </w:rPr>
            </w:pPr>
          </w:p>
          <w:p w:rsidR="007409FF" w:rsidRPr="00B65080" w:rsidRDefault="007409FF" w:rsidP="007409FF">
            <w:pPr>
              <w:rPr>
                <w:rFonts w:ascii="Arial" w:hAnsi="Arial" w:cs="Arial"/>
                <w:sz w:val="20"/>
                <w:szCs w:val="20"/>
              </w:rPr>
            </w:pPr>
            <w:r w:rsidRPr="00B65080">
              <w:rPr>
                <w:rFonts w:ascii="Arial" w:hAnsi="Arial" w:cs="Arial"/>
                <w:sz w:val="20"/>
                <w:szCs w:val="20"/>
              </w:rPr>
              <w:t xml:space="preserve">The </w:t>
            </w:r>
            <w:hyperlink r:id="rId7" w:history="1">
              <w:r w:rsidRPr="00B65080">
                <w:rPr>
                  <w:rStyle w:val="Hyperlink"/>
                  <w:rFonts w:ascii="Arial" w:hAnsi="Arial" w:cs="Arial"/>
                  <w:sz w:val="20"/>
                  <w:szCs w:val="20"/>
                </w:rPr>
                <w:t>July 2025 CARB FAQs</w:t>
              </w:r>
            </w:hyperlink>
            <w:r w:rsidRPr="00B65080">
              <w:rPr>
                <w:rFonts w:ascii="Arial" w:hAnsi="Arial" w:cs="Arial"/>
                <w:sz w:val="20"/>
                <w:szCs w:val="20"/>
              </w:rPr>
              <w:t xml:space="preserve"> state that, because “it takes time to process climate information into a report”, “it is reasonable to expect that initial climate-related financial risk reports submitted by January 1, 2026, may cover fiscal years (FY) 2023/2024 or FY 2024/2025 depending on the organization.”</w:t>
            </w:r>
          </w:p>
        </w:tc>
        <w:tc>
          <w:tcPr>
            <w:tcW w:w="5868" w:type="dxa"/>
          </w:tcPr>
          <w:p w:rsidR="007409FF" w:rsidRPr="00B65080" w:rsidRDefault="007409FF" w:rsidP="007409FF">
            <w:pPr>
              <w:rPr>
                <w:rFonts w:ascii="Arial" w:hAnsi="Arial" w:cs="Arial"/>
                <w:sz w:val="20"/>
                <w:szCs w:val="20"/>
              </w:rPr>
            </w:pPr>
            <w:r w:rsidRPr="00B65080">
              <w:rPr>
                <w:rFonts w:ascii="Arial" w:hAnsi="Arial" w:cs="Arial"/>
                <w:sz w:val="20"/>
                <w:szCs w:val="20"/>
              </w:rPr>
              <w:t xml:space="preserve">In addition to the additional enforcement relief requested under #1 &amp; 2 above, </w:t>
            </w:r>
            <w:r w:rsidRPr="00B65080">
              <w:rPr>
                <w:rFonts w:ascii="Arial" w:hAnsi="Arial" w:cs="Arial"/>
                <w:b/>
                <w:bCs/>
                <w:sz w:val="20"/>
                <w:szCs w:val="20"/>
              </w:rPr>
              <w:t>clarify in the form of public guidance</w:t>
            </w:r>
            <w:r w:rsidRPr="00B65080">
              <w:rPr>
                <w:rFonts w:ascii="Arial" w:hAnsi="Arial" w:cs="Arial"/>
                <w:sz w:val="20"/>
                <w:szCs w:val="20"/>
              </w:rPr>
              <w:t>:</w:t>
            </w:r>
          </w:p>
          <w:p w:rsidR="007409FF" w:rsidRPr="00B65080" w:rsidRDefault="007409FF" w:rsidP="007409FF">
            <w:pPr>
              <w:rPr>
                <w:rFonts w:ascii="Arial" w:hAnsi="Arial" w:cs="Arial"/>
                <w:sz w:val="20"/>
                <w:szCs w:val="20"/>
              </w:rPr>
            </w:pPr>
          </w:p>
          <w:p w:rsidR="007409FF" w:rsidRPr="00B65080" w:rsidRDefault="007409FF" w:rsidP="007409FF">
            <w:pPr>
              <w:pStyle w:val="ListParagraph"/>
              <w:numPr>
                <w:ilvl w:val="0"/>
                <w:numId w:val="2"/>
              </w:numPr>
              <w:rPr>
                <w:rFonts w:ascii="Arial" w:hAnsi="Arial" w:cs="Arial"/>
                <w:sz w:val="20"/>
                <w:szCs w:val="20"/>
              </w:rPr>
            </w:pPr>
            <w:r w:rsidRPr="00B65080">
              <w:rPr>
                <w:rFonts w:ascii="Arial" w:hAnsi="Arial" w:cs="Arial"/>
                <w:sz w:val="20"/>
                <w:szCs w:val="20"/>
              </w:rPr>
              <w:t>SB 261 does not require GHG emissions disclosure</w:t>
            </w:r>
          </w:p>
          <w:p w:rsidR="007409FF" w:rsidRPr="00B65080" w:rsidRDefault="007409FF" w:rsidP="007409FF">
            <w:pPr>
              <w:pStyle w:val="ListParagraph"/>
              <w:numPr>
                <w:ilvl w:val="0"/>
                <w:numId w:val="2"/>
              </w:numPr>
              <w:rPr>
                <w:rFonts w:ascii="Arial" w:hAnsi="Arial" w:cs="Arial"/>
                <w:sz w:val="20"/>
                <w:szCs w:val="20"/>
              </w:rPr>
            </w:pPr>
            <w:r w:rsidRPr="00B65080">
              <w:rPr>
                <w:rFonts w:ascii="Arial" w:hAnsi="Arial" w:cs="Arial"/>
                <w:sz w:val="20"/>
                <w:szCs w:val="20"/>
              </w:rPr>
              <w:t>SB 261 does not require assurance over TCFD reporting</w:t>
            </w:r>
          </w:p>
          <w:p w:rsidR="007409FF" w:rsidRPr="00B65080" w:rsidRDefault="007409FF" w:rsidP="007409FF">
            <w:pPr>
              <w:pStyle w:val="ListParagraph"/>
              <w:numPr>
                <w:ilvl w:val="0"/>
                <w:numId w:val="2"/>
              </w:numPr>
              <w:rPr>
                <w:rFonts w:ascii="Arial" w:hAnsi="Arial" w:cs="Arial"/>
                <w:sz w:val="20"/>
                <w:szCs w:val="20"/>
              </w:rPr>
            </w:pPr>
            <w:r w:rsidRPr="00B65080">
              <w:rPr>
                <w:rFonts w:ascii="Arial" w:hAnsi="Arial" w:cs="Arial"/>
                <w:sz w:val="20"/>
                <w:szCs w:val="20"/>
              </w:rPr>
              <w:t>SB 261 does not require a company to conduct and disclose a climate scenario analysis</w:t>
            </w:r>
          </w:p>
          <w:p w:rsidR="007409FF" w:rsidRPr="00B65080" w:rsidRDefault="00420CB8" w:rsidP="007409FF">
            <w:pPr>
              <w:pStyle w:val="ListParagraph"/>
              <w:numPr>
                <w:ilvl w:val="0"/>
                <w:numId w:val="2"/>
              </w:numPr>
              <w:rPr>
                <w:rFonts w:ascii="Arial" w:hAnsi="Arial" w:cs="Arial"/>
                <w:sz w:val="20"/>
                <w:szCs w:val="20"/>
              </w:rPr>
            </w:pPr>
            <w:r>
              <w:rPr>
                <w:rFonts w:ascii="Arial" w:hAnsi="Arial" w:cs="Arial"/>
                <w:sz w:val="20"/>
                <w:szCs w:val="20"/>
              </w:rPr>
              <w:t>SB 261 only requires an entity to address climate-related risks for a one-year period and need not cover the prior two fiscal years</w:t>
            </w:r>
            <w:r w:rsidRPr="00B65080">
              <w:rPr>
                <w:rFonts w:ascii="Arial" w:hAnsi="Arial" w:cs="Arial"/>
                <w:sz w:val="20"/>
                <w:szCs w:val="20"/>
              </w:rPr>
              <w:t xml:space="preserve"> </w:t>
            </w:r>
            <w:r w:rsidR="007409FF" w:rsidRPr="00B65080">
              <w:rPr>
                <w:rFonts w:ascii="Arial" w:hAnsi="Arial" w:cs="Arial"/>
                <w:sz w:val="20"/>
                <w:szCs w:val="20"/>
              </w:rPr>
              <w:t>(e.g., either FY 2023 or FY 2024, not both)</w:t>
            </w:r>
          </w:p>
          <w:p w:rsidR="007409FF" w:rsidRPr="00B65080" w:rsidRDefault="007409FF" w:rsidP="007409FF">
            <w:pPr>
              <w:rPr>
                <w:rFonts w:ascii="Arial" w:hAnsi="Arial" w:cs="Arial"/>
                <w:sz w:val="20"/>
                <w:szCs w:val="20"/>
              </w:rPr>
            </w:pPr>
          </w:p>
        </w:tc>
      </w:tr>
      <w:tr w:rsidR="00B35D51" w:rsidRPr="00B65080" w:rsidTr="004D2876">
        <w:tc>
          <w:tcPr>
            <w:tcW w:w="4680" w:type="dxa"/>
          </w:tcPr>
          <w:p w:rsidR="00B35D51" w:rsidRPr="00B65080" w:rsidRDefault="00552C9E" w:rsidP="00B35D51">
            <w:pPr>
              <w:pStyle w:val="ListParagraph"/>
              <w:numPr>
                <w:ilvl w:val="0"/>
                <w:numId w:val="1"/>
              </w:numPr>
              <w:rPr>
                <w:rFonts w:ascii="Arial" w:hAnsi="Arial" w:cs="Arial"/>
                <w:sz w:val="20"/>
                <w:szCs w:val="20"/>
              </w:rPr>
            </w:pPr>
            <w:r w:rsidRPr="00B65080">
              <w:rPr>
                <w:rFonts w:ascii="Arial" w:hAnsi="Arial" w:cs="Arial"/>
                <w:b/>
                <w:bCs/>
                <w:sz w:val="20"/>
                <w:szCs w:val="20"/>
              </w:rPr>
              <w:t xml:space="preserve">[SB 253] </w:t>
            </w:r>
            <w:r w:rsidR="00B35D51" w:rsidRPr="00B65080">
              <w:rPr>
                <w:rFonts w:ascii="Arial" w:hAnsi="Arial" w:cs="Arial"/>
                <w:sz w:val="20"/>
                <w:szCs w:val="20"/>
              </w:rPr>
              <w:t xml:space="preserve">In-scope companies need lead time to </w:t>
            </w:r>
            <w:r w:rsidR="00B35D51" w:rsidRPr="00B65080">
              <w:rPr>
                <w:rFonts w:ascii="Arial" w:hAnsi="Arial" w:cs="Arial"/>
                <w:b/>
                <w:bCs/>
                <w:sz w:val="20"/>
                <w:szCs w:val="20"/>
              </w:rPr>
              <w:t>implement new data collection processes</w:t>
            </w:r>
            <w:r w:rsidR="00B35D51" w:rsidRPr="00B65080">
              <w:rPr>
                <w:rFonts w:ascii="Arial" w:hAnsi="Arial" w:cs="Arial"/>
                <w:sz w:val="20"/>
                <w:szCs w:val="20"/>
              </w:rPr>
              <w:t xml:space="preserve"> to allow for </w:t>
            </w:r>
            <w:r w:rsidR="00700049" w:rsidRPr="00B65080">
              <w:rPr>
                <w:rFonts w:ascii="Arial" w:hAnsi="Arial" w:cs="Arial"/>
                <w:sz w:val="20"/>
                <w:szCs w:val="20"/>
              </w:rPr>
              <w:t xml:space="preserve">both </w:t>
            </w:r>
            <w:r w:rsidR="00700049" w:rsidRPr="00B65080">
              <w:rPr>
                <w:rFonts w:ascii="Arial" w:hAnsi="Arial" w:cs="Arial"/>
                <w:b/>
                <w:bCs/>
                <w:sz w:val="20"/>
                <w:szCs w:val="20"/>
              </w:rPr>
              <w:t>reporting</w:t>
            </w:r>
            <w:r w:rsidR="00700049" w:rsidRPr="00B65080">
              <w:rPr>
                <w:rFonts w:ascii="Arial" w:hAnsi="Arial" w:cs="Arial"/>
                <w:sz w:val="20"/>
                <w:szCs w:val="20"/>
              </w:rPr>
              <w:t xml:space="preserve"> and </w:t>
            </w:r>
            <w:r w:rsidR="00700049" w:rsidRPr="00B65080">
              <w:rPr>
                <w:rFonts w:ascii="Arial" w:hAnsi="Arial" w:cs="Arial"/>
                <w:b/>
                <w:bCs/>
                <w:sz w:val="20"/>
                <w:szCs w:val="20"/>
              </w:rPr>
              <w:t>verification</w:t>
            </w:r>
            <w:r w:rsidR="00700049" w:rsidRPr="00B65080">
              <w:rPr>
                <w:rFonts w:ascii="Arial" w:hAnsi="Arial" w:cs="Arial"/>
                <w:sz w:val="20"/>
                <w:szCs w:val="20"/>
              </w:rPr>
              <w:t xml:space="preserve"> of</w:t>
            </w:r>
            <w:r w:rsidR="00B35D51" w:rsidRPr="00B65080">
              <w:rPr>
                <w:rFonts w:ascii="Arial" w:hAnsi="Arial" w:cs="Arial"/>
                <w:sz w:val="20"/>
                <w:szCs w:val="20"/>
              </w:rPr>
              <w:t xml:space="preserve"> Scope 1 and scope 2 emissions reporting in compliance with CARB’s forthcoming rules.</w:t>
            </w:r>
          </w:p>
        </w:tc>
        <w:tc>
          <w:tcPr>
            <w:tcW w:w="4032" w:type="dxa"/>
          </w:tcPr>
          <w:p w:rsidR="00E42C71" w:rsidRPr="00B65080" w:rsidRDefault="00E42C71" w:rsidP="00B35D51">
            <w:pPr>
              <w:rPr>
                <w:rFonts w:ascii="Arial" w:hAnsi="Arial" w:cs="Arial"/>
                <w:sz w:val="20"/>
                <w:szCs w:val="20"/>
              </w:rPr>
            </w:pPr>
            <w:r w:rsidRPr="00B65080">
              <w:rPr>
                <w:rFonts w:ascii="Arial" w:hAnsi="Arial" w:cs="Arial"/>
                <w:sz w:val="20"/>
                <w:szCs w:val="20"/>
              </w:rPr>
              <w:t>Partially.</w:t>
            </w:r>
            <w:r w:rsidR="00B35D51" w:rsidRPr="00B65080">
              <w:rPr>
                <w:rFonts w:ascii="Arial" w:hAnsi="Arial" w:cs="Arial"/>
                <w:sz w:val="20"/>
                <w:szCs w:val="20"/>
              </w:rPr>
              <w:t xml:space="preserve"> </w:t>
            </w:r>
          </w:p>
          <w:p w:rsidR="00E42C71" w:rsidRPr="00B65080" w:rsidRDefault="00E42C71" w:rsidP="00B35D51">
            <w:pPr>
              <w:rPr>
                <w:rFonts w:ascii="Arial" w:hAnsi="Arial" w:cs="Arial"/>
                <w:sz w:val="20"/>
                <w:szCs w:val="20"/>
              </w:rPr>
            </w:pPr>
          </w:p>
          <w:p w:rsidR="00B35D51" w:rsidRPr="00B65080" w:rsidRDefault="00552C9E" w:rsidP="00B35D51">
            <w:pPr>
              <w:rPr>
                <w:rFonts w:ascii="Arial" w:hAnsi="Arial" w:cs="Arial"/>
                <w:sz w:val="20"/>
                <w:szCs w:val="20"/>
              </w:rPr>
            </w:pPr>
            <w:r w:rsidRPr="00B65080">
              <w:rPr>
                <w:rFonts w:ascii="Arial" w:hAnsi="Arial" w:cs="Arial"/>
                <w:sz w:val="20"/>
                <w:szCs w:val="20"/>
              </w:rPr>
              <w:t xml:space="preserve">The </w:t>
            </w:r>
            <w:hyperlink r:id="rId8" w:history="1">
              <w:r w:rsidRPr="00B65080">
                <w:rPr>
                  <w:rStyle w:val="Hyperlink"/>
                  <w:rFonts w:ascii="Arial" w:hAnsi="Arial" w:cs="Arial"/>
                  <w:sz w:val="20"/>
                  <w:szCs w:val="20"/>
                </w:rPr>
                <w:t>December 2024 CARB enforcement notice re: SB 253</w:t>
              </w:r>
            </w:hyperlink>
            <w:r w:rsidRPr="00B65080">
              <w:rPr>
                <w:rFonts w:ascii="Arial" w:hAnsi="Arial" w:cs="Arial"/>
                <w:sz w:val="20"/>
                <w:szCs w:val="20"/>
              </w:rPr>
              <w:t xml:space="preserve"> states that “</w:t>
            </w:r>
            <w:r w:rsidR="00B35D51" w:rsidRPr="00B65080">
              <w:rPr>
                <w:rFonts w:ascii="Arial" w:hAnsi="Arial" w:cs="Arial"/>
                <w:sz w:val="20"/>
                <w:szCs w:val="20"/>
              </w:rPr>
              <w:t>CARB will exercise its enforcement discretion such that, for the first report due</w:t>
            </w:r>
            <w:r w:rsidRPr="00B65080">
              <w:rPr>
                <w:rFonts w:ascii="Arial" w:hAnsi="Arial" w:cs="Arial"/>
                <w:sz w:val="20"/>
                <w:szCs w:val="20"/>
              </w:rPr>
              <w:t xml:space="preserve"> </w:t>
            </w:r>
            <w:r w:rsidR="00B35D51" w:rsidRPr="00B65080">
              <w:rPr>
                <w:rFonts w:ascii="Arial" w:hAnsi="Arial" w:cs="Arial"/>
                <w:sz w:val="20"/>
                <w:szCs w:val="20"/>
              </w:rPr>
              <w:t xml:space="preserve">in 2026, reporting entities may submit scope 1 and scope 2 emissions from </w:t>
            </w:r>
            <w:r w:rsidRPr="00B65080">
              <w:rPr>
                <w:rFonts w:ascii="Arial" w:hAnsi="Arial" w:cs="Arial"/>
                <w:sz w:val="20"/>
                <w:szCs w:val="20"/>
              </w:rPr>
              <w:t>‘</w:t>
            </w:r>
            <w:r w:rsidR="00B35D51" w:rsidRPr="00B65080">
              <w:rPr>
                <w:rFonts w:ascii="Arial" w:hAnsi="Arial" w:cs="Arial"/>
                <w:sz w:val="20"/>
                <w:szCs w:val="20"/>
              </w:rPr>
              <w:t>the reporting</w:t>
            </w:r>
          </w:p>
          <w:p w:rsidR="00700049" w:rsidRPr="00B65080" w:rsidRDefault="00B35D51" w:rsidP="00700049">
            <w:pPr>
              <w:rPr>
                <w:rFonts w:ascii="Arial" w:hAnsi="Arial" w:cs="Arial"/>
                <w:sz w:val="20"/>
                <w:szCs w:val="20"/>
              </w:rPr>
            </w:pPr>
            <w:proofErr w:type="gramStart"/>
            <w:r w:rsidRPr="00B65080">
              <w:rPr>
                <w:rFonts w:ascii="Arial" w:hAnsi="Arial" w:cs="Arial"/>
                <w:sz w:val="20"/>
                <w:szCs w:val="20"/>
              </w:rPr>
              <w:t>entity’s</w:t>
            </w:r>
            <w:proofErr w:type="gramEnd"/>
            <w:r w:rsidRPr="00B65080">
              <w:rPr>
                <w:rFonts w:ascii="Arial" w:hAnsi="Arial" w:cs="Arial"/>
                <w:sz w:val="20"/>
                <w:szCs w:val="20"/>
              </w:rPr>
              <w:t xml:space="preserve"> prior fiscal year</w:t>
            </w:r>
            <w:r w:rsidR="00552C9E" w:rsidRPr="00B65080">
              <w:rPr>
                <w:rFonts w:ascii="Arial" w:hAnsi="Arial" w:cs="Arial"/>
                <w:sz w:val="20"/>
                <w:szCs w:val="20"/>
              </w:rPr>
              <w:t>’</w:t>
            </w:r>
            <w:r w:rsidRPr="00B65080">
              <w:rPr>
                <w:rFonts w:ascii="Arial" w:hAnsi="Arial" w:cs="Arial"/>
                <w:sz w:val="20"/>
                <w:szCs w:val="20"/>
              </w:rPr>
              <w:t xml:space="preserve"> that can be determined from information the reporting entity</w:t>
            </w:r>
            <w:r w:rsidR="00552C9E" w:rsidRPr="00B65080">
              <w:rPr>
                <w:rFonts w:ascii="Arial" w:hAnsi="Arial" w:cs="Arial"/>
                <w:sz w:val="20"/>
                <w:szCs w:val="20"/>
              </w:rPr>
              <w:t xml:space="preserve"> </w:t>
            </w:r>
            <w:r w:rsidRPr="00B65080">
              <w:rPr>
                <w:rFonts w:ascii="Arial" w:hAnsi="Arial" w:cs="Arial"/>
                <w:sz w:val="20"/>
                <w:szCs w:val="20"/>
              </w:rPr>
              <w:t>already possesses or is already collecting at the time this Notice was issued.</w:t>
            </w:r>
            <w:r w:rsidR="00552C9E" w:rsidRPr="00B65080">
              <w:rPr>
                <w:rFonts w:ascii="Arial" w:hAnsi="Arial" w:cs="Arial"/>
                <w:sz w:val="20"/>
                <w:szCs w:val="20"/>
              </w:rPr>
              <w:t>”</w:t>
            </w:r>
          </w:p>
          <w:p w:rsidR="00700049" w:rsidRPr="00B65080" w:rsidRDefault="00700049" w:rsidP="00700049">
            <w:pPr>
              <w:rPr>
                <w:rFonts w:ascii="Arial" w:hAnsi="Arial" w:cs="Arial"/>
                <w:sz w:val="20"/>
                <w:szCs w:val="20"/>
              </w:rPr>
            </w:pPr>
          </w:p>
          <w:p w:rsidR="00700049" w:rsidRPr="00B65080" w:rsidRDefault="00700049" w:rsidP="00700049">
            <w:pPr>
              <w:rPr>
                <w:rFonts w:ascii="Arial" w:hAnsi="Arial" w:cs="Arial"/>
                <w:sz w:val="20"/>
                <w:szCs w:val="20"/>
              </w:rPr>
            </w:pPr>
          </w:p>
          <w:p w:rsidR="00B35D51" w:rsidRPr="00B65080" w:rsidRDefault="00B35D51" w:rsidP="00B35D51">
            <w:pPr>
              <w:jc w:val="center"/>
              <w:rPr>
                <w:rFonts w:ascii="Arial" w:hAnsi="Arial" w:cs="Arial"/>
                <w:sz w:val="20"/>
                <w:szCs w:val="20"/>
              </w:rPr>
            </w:pPr>
          </w:p>
        </w:tc>
        <w:tc>
          <w:tcPr>
            <w:tcW w:w="5868" w:type="dxa"/>
          </w:tcPr>
          <w:p w:rsidR="007409FF" w:rsidRPr="00B65080" w:rsidRDefault="007409FF" w:rsidP="007409FF">
            <w:pPr>
              <w:rPr>
                <w:rFonts w:ascii="Arial" w:hAnsi="Arial" w:cs="Arial"/>
                <w:sz w:val="20"/>
                <w:szCs w:val="20"/>
              </w:rPr>
            </w:pPr>
            <w:r w:rsidRPr="00B65080">
              <w:rPr>
                <w:rFonts w:ascii="Arial" w:hAnsi="Arial" w:cs="Arial"/>
                <w:sz w:val="20"/>
                <w:szCs w:val="20"/>
              </w:rPr>
              <w:t xml:space="preserve">Some companies may not be able to report any FY 2025 GHG emissions based on available data per the CARB enforcement notice (e.g., if a company has an off-calendar fiscal year). Therefore, CARB should clarify that “good faith compliance” for purposes of both SB 253 includes an entity’s </w:t>
            </w:r>
            <w:r w:rsidRPr="00B65080">
              <w:rPr>
                <w:rFonts w:ascii="Arial" w:hAnsi="Arial" w:cs="Arial"/>
                <w:b/>
                <w:bCs/>
                <w:sz w:val="20"/>
                <w:szCs w:val="20"/>
              </w:rPr>
              <w:t>good faith determination that it does not have data reasonably available to make any disclosure in the initial reporting year</w:t>
            </w:r>
            <w:r w:rsidRPr="00B65080">
              <w:rPr>
                <w:rFonts w:ascii="Arial" w:hAnsi="Arial" w:cs="Arial"/>
                <w:sz w:val="20"/>
                <w:szCs w:val="20"/>
              </w:rPr>
              <w:t>.”</w:t>
            </w:r>
          </w:p>
          <w:p w:rsidR="007409FF" w:rsidRPr="00B65080" w:rsidRDefault="007409FF" w:rsidP="007409FF">
            <w:pPr>
              <w:rPr>
                <w:rFonts w:ascii="Arial" w:hAnsi="Arial" w:cs="Arial"/>
                <w:sz w:val="20"/>
                <w:szCs w:val="20"/>
              </w:rPr>
            </w:pPr>
          </w:p>
          <w:p w:rsidR="004F050B" w:rsidRPr="00B65080" w:rsidRDefault="004F050B" w:rsidP="0065618F">
            <w:pPr>
              <w:rPr>
                <w:rFonts w:ascii="Arial" w:hAnsi="Arial" w:cs="Arial"/>
                <w:sz w:val="20"/>
                <w:szCs w:val="20"/>
              </w:rPr>
            </w:pPr>
          </w:p>
          <w:p w:rsidR="00420CB8" w:rsidRPr="00B65080" w:rsidRDefault="0065618F" w:rsidP="00420CB8">
            <w:pPr>
              <w:rPr>
                <w:rFonts w:ascii="Arial" w:hAnsi="Arial" w:cs="Arial"/>
                <w:sz w:val="20"/>
                <w:szCs w:val="20"/>
              </w:rPr>
            </w:pPr>
            <w:r w:rsidRPr="00B65080">
              <w:rPr>
                <w:rFonts w:ascii="Arial" w:hAnsi="Arial" w:cs="Arial"/>
                <w:sz w:val="20"/>
                <w:szCs w:val="20"/>
              </w:rPr>
              <w:t>An assurance provide</w:t>
            </w:r>
            <w:r w:rsidR="004F050B" w:rsidRPr="00B65080">
              <w:rPr>
                <w:rFonts w:ascii="Arial" w:hAnsi="Arial" w:cs="Arial"/>
                <w:sz w:val="20"/>
                <w:szCs w:val="20"/>
              </w:rPr>
              <w:t>r</w:t>
            </w:r>
            <w:r w:rsidRPr="00B65080">
              <w:rPr>
                <w:rFonts w:ascii="Arial" w:hAnsi="Arial" w:cs="Arial"/>
                <w:sz w:val="20"/>
                <w:szCs w:val="20"/>
              </w:rPr>
              <w:t xml:space="preserve"> may be unable or unwilling to issue an assurance report under its current methodology when reviewing incomplete data from a company. </w:t>
            </w:r>
            <w:r w:rsidR="00420CB8">
              <w:rPr>
                <w:rFonts w:ascii="Arial" w:hAnsi="Arial" w:cs="Arial"/>
                <w:sz w:val="20"/>
                <w:szCs w:val="20"/>
              </w:rPr>
              <w:t>An assurance provider may also only be willing to provide a qualified limited assurance opinion based on such data.</w:t>
            </w:r>
          </w:p>
          <w:p w:rsidR="0065618F" w:rsidRPr="00B65080" w:rsidRDefault="0065618F" w:rsidP="0065618F">
            <w:pPr>
              <w:rPr>
                <w:rFonts w:ascii="Arial" w:hAnsi="Arial" w:cs="Arial"/>
                <w:sz w:val="20"/>
                <w:szCs w:val="20"/>
              </w:rPr>
            </w:pPr>
          </w:p>
          <w:p w:rsidR="0065618F" w:rsidRPr="00B65080" w:rsidRDefault="0065618F" w:rsidP="00552C9E">
            <w:pPr>
              <w:rPr>
                <w:rFonts w:ascii="Arial" w:hAnsi="Arial" w:cs="Arial"/>
                <w:sz w:val="20"/>
                <w:szCs w:val="20"/>
              </w:rPr>
            </w:pPr>
          </w:p>
          <w:p w:rsidR="0065618F" w:rsidRPr="00B65080" w:rsidRDefault="00552C9E" w:rsidP="00552C9E">
            <w:pPr>
              <w:rPr>
                <w:rFonts w:ascii="Arial" w:hAnsi="Arial" w:cs="Arial"/>
                <w:sz w:val="20"/>
                <w:szCs w:val="20"/>
              </w:rPr>
            </w:pPr>
            <w:r w:rsidRPr="00B65080">
              <w:rPr>
                <w:rFonts w:ascii="Arial" w:hAnsi="Arial" w:cs="Arial"/>
                <w:sz w:val="20"/>
                <w:szCs w:val="20"/>
              </w:rPr>
              <w:t>Clarify that</w:t>
            </w:r>
            <w:r w:rsidR="0065618F" w:rsidRPr="00B65080">
              <w:rPr>
                <w:rFonts w:ascii="Arial" w:hAnsi="Arial" w:cs="Arial"/>
                <w:sz w:val="20"/>
                <w:szCs w:val="20"/>
              </w:rPr>
              <w:t xml:space="preserve">, consistent with enforcement relief for good faith partial reporting, </w:t>
            </w:r>
            <w:r w:rsidR="0065618F" w:rsidRPr="00B65080">
              <w:rPr>
                <w:rFonts w:ascii="Arial" w:hAnsi="Arial" w:cs="Arial"/>
                <w:b/>
                <w:bCs/>
                <w:sz w:val="20"/>
                <w:szCs w:val="20"/>
              </w:rPr>
              <w:t>CARB will not enforce in the first year against companies that are not reasonably able to obtain an assurance report</w:t>
            </w:r>
            <w:r w:rsidR="00420CB8">
              <w:rPr>
                <w:rFonts w:ascii="Arial" w:hAnsi="Arial" w:cs="Arial"/>
                <w:b/>
                <w:bCs/>
                <w:sz w:val="20"/>
                <w:szCs w:val="20"/>
              </w:rPr>
              <w:t xml:space="preserve"> or companies that are not able to obtain an unqualified assurance report</w:t>
            </w:r>
            <w:r w:rsidR="0065618F" w:rsidRPr="00B65080">
              <w:rPr>
                <w:rFonts w:ascii="Arial" w:hAnsi="Arial" w:cs="Arial"/>
                <w:sz w:val="20"/>
                <w:szCs w:val="20"/>
              </w:rPr>
              <w:t xml:space="preserve">. </w:t>
            </w:r>
          </w:p>
          <w:p w:rsidR="00B35D51" w:rsidRPr="00B65080" w:rsidRDefault="00B35D51" w:rsidP="00B35D51">
            <w:pPr>
              <w:rPr>
                <w:rFonts w:ascii="Arial" w:hAnsi="Arial" w:cs="Arial"/>
                <w:sz w:val="20"/>
                <w:szCs w:val="20"/>
              </w:rPr>
            </w:pPr>
          </w:p>
        </w:tc>
      </w:tr>
    </w:tbl>
    <w:p w:rsidR="005C2E7D" w:rsidRPr="00B65080" w:rsidRDefault="005C2E7D" w:rsidP="00C8400D">
      <w:pPr>
        <w:jc w:val="center"/>
        <w:rPr>
          <w:rFonts w:ascii="Arial" w:hAnsi="Arial" w:cs="Arial"/>
          <w:sz w:val="20"/>
          <w:szCs w:val="20"/>
        </w:rPr>
      </w:pPr>
    </w:p>
    <w:sectPr w:rsidR="005C2E7D" w:rsidRPr="00B65080" w:rsidSect="00CE0D51">
      <w:pgSz w:w="15840" w:h="12240" w:orient="landscape"/>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00000003"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74143"/>
    <w:multiLevelType w:val="hybridMultilevel"/>
    <w:tmpl w:val="B504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1804BC"/>
    <w:multiLevelType w:val="hybridMultilevel"/>
    <w:tmpl w:val="8104E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754D1F"/>
    <w:multiLevelType w:val="hybridMultilevel"/>
    <w:tmpl w:val="B0E8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 June M.">
    <w15:presenceInfo w15:providerId="AD" w15:userId="S::huju@sullcrom.com::78bd82ce-8af5-472a-818b-07ca083edf7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5353"/>
    <w:rsid w:val="000318AC"/>
    <w:rsid w:val="001D319C"/>
    <w:rsid w:val="001E113F"/>
    <w:rsid w:val="00245F27"/>
    <w:rsid w:val="00325353"/>
    <w:rsid w:val="003676E0"/>
    <w:rsid w:val="003C1B3D"/>
    <w:rsid w:val="00420CB8"/>
    <w:rsid w:val="00481F29"/>
    <w:rsid w:val="004A4B95"/>
    <w:rsid w:val="004D2876"/>
    <w:rsid w:val="004F050B"/>
    <w:rsid w:val="00507133"/>
    <w:rsid w:val="00543D14"/>
    <w:rsid w:val="00543E06"/>
    <w:rsid w:val="00552C9E"/>
    <w:rsid w:val="00585DF5"/>
    <w:rsid w:val="005A12C4"/>
    <w:rsid w:val="005C2E7D"/>
    <w:rsid w:val="0063418D"/>
    <w:rsid w:val="0065618F"/>
    <w:rsid w:val="00691C59"/>
    <w:rsid w:val="006B5CD6"/>
    <w:rsid w:val="00700049"/>
    <w:rsid w:val="0073165C"/>
    <w:rsid w:val="007409FF"/>
    <w:rsid w:val="0074152E"/>
    <w:rsid w:val="00747A20"/>
    <w:rsid w:val="007B26CD"/>
    <w:rsid w:val="007D70CE"/>
    <w:rsid w:val="007F5062"/>
    <w:rsid w:val="0086313C"/>
    <w:rsid w:val="008B7C4C"/>
    <w:rsid w:val="00920C40"/>
    <w:rsid w:val="009F2CD7"/>
    <w:rsid w:val="00A1021D"/>
    <w:rsid w:val="00A5495C"/>
    <w:rsid w:val="00AF098D"/>
    <w:rsid w:val="00B35D51"/>
    <w:rsid w:val="00B517ED"/>
    <w:rsid w:val="00B65080"/>
    <w:rsid w:val="00BA7B93"/>
    <w:rsid w:val="00C65EC8"/>
    <w:rsid w:val="00C8400D"/>
    <w:rsid w:val="00CE0D51"/>
    <w:rsid w:val="00D570C8"/>
    <w:rsid w:val="00D87769"/>
    <w:rsid w:val="00DC368F"/>
    <w:rsid w:val="00DE4659"/>
    <w:rsid w:val="00E42C71"/>
    <w:rsid w:val="00ED7D0A"/>
    <w:rsid w:val="00FF1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1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2E7D"/>
    <w:pPr>
      <w:ind w:left="720"/>
      <w:contextualSpacing/>
    </w:pPr>
  </w:style>
  <w:style w:type="character" w:styleId="Hyperlink">
    <w:name w:val="Hyperlink"/>
    <w:basedOn w:val="DefaultParagraphFont"/>
    <w:uiPriority w:val="99"/>
    <w:unhideWhenUsed/>
    <w:rsid w:val="00B35D51"/>
    <w:rPr>
      <w:color w:val="467886" w:themeColor="hyperlink"/>
      <w:u w:val="single"/>
    </w:rPr>
  </w:style>
  <w:style w:type="character" w:customStyle="1" w:styleId="UnresolvedMention1">
    <w:name w:val="Unresolved Mention1"/>
    <w:basedOn w:val="DefaultParagraphFont"/>
    <w:uiPriority w:val="99"/>
    <w:semiHidden/>
    <w:unhideWhenUsed/>
    <w:rsid w:val="00B35D51"/>
    <w:rPr>
      <w:color w:val="605E5C"/>
      <w:shd w:val="clear" w:color="auto" w:fill="E1DFDD"/>
    </w:rPr>
  </w:style>
  <w:style w:type="paragraph" w:styleId="BalloonText">
    <w:name w:val="Balloon Text"/>
    <w:basedOn w:val="Normal"/>
    <w:link w:val="BalloonTextChar"/>
    <w:uiPriority w:val="99"/>
    <w:semiHidden/>
    <w:unhideWhenUsed/>
    <w:rsid w:val="00A10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21D"/>
    <w:rPr>
      <w:rFonts w:ascii="Tahoma" w:hAnsi="Tahoma" w:cs="Tahoma"/>
      <w:sz w:val="16"/>
      <w:szCs w:val="16"/>
    </w:rPr>
  </w:style>
  <w:style w:type="character" w:styleId="CommentReference">
    <w:name w:val="annotation reference"/>
    <w:basedOn w:val="DefaultParagraphFont"/>
    <w:uiPriority w:val="99"/>
    <w:semiHidden/>
    <w:unhideWhenUsed/>
    <w:rsid w:val="00A5495C"/>
    <w:rPr>
      <w:sz w:val="16"/>
      <w:szCs w:val="16"/>
    </w:rPr>
  </w:style>
  <w:style w:type="paragraph" w:styleId="CommentText">
    <w:name w:val="annotation text"/>
    <w:basedOn w:val="Normal"/>
    <w:link w:val="CommentTextChar"/>
    <w:uiPriority w:val="99"/>
    <w:unhideWhenUsed/>
    <w:rsid w:val="00A5495C"/>
    <w:pPr>
      <w:spacing w:line="240" w:lineRule="auto"/>
    </w:pPr>
    <w:rPr>
      <w:sz w:val="20"/>
      <w:szCs w:val="20"/>
    </w:rPr>
  </w:style>
  <w:style w:type="character" w:customStyle="1" w:styleId="CommentTextChar">
    <w:name w:val="Comment Text Char"/>
    <w:basedOn w:val="DefaultParagraphFont"/>
    <w:link w:val="CommentText"/>
    <w:uiPriority w:val="99"/>
    <w:rsid w:val="00A5495C"/>
    <w:rPr>
      <w:sz w:val="20"/>
      <w:szCs w:val="20"/>
    </w:rPr>
  </w:style>
  <w:style w:type="paragraph" w:styleId="CommentSubject">
    <w:name w:val="annotation subject"/>
    <w:basedOn w:val="CommentText"/>
    <w:next w:val="CommentText"/>
    <w:link w:val="CommentSubjectChar"/>
    <w:uiPriority w:val="99"/>
    <w:semiHidden/>
    <w:unhideWhenUsed/>
    <w:rsid w:val="00A5495C"/>
    <w:rPr>
      <w:b/>
      <w:bCs/>
    </w:rPr>
  </w:style>
  <w:style w:type="character" w:customStyle="1" w:styleId="CommentSubjectChar">
    <w:name w:val="Comment Subject Char"/>
    <w:basedOn w:val="CommentTextChar"/>
    <w:link w:val="CommentSubject"/>
    <w:uiPriority w:val="99"/>
    <w:semiHidden/>
    <w:rsid w:val="00A5495C"/>
    <w:rPr>
      <w:b/>
      <w:bCs/>
      <w:sz w:val="20"/>
      <w:szCs w:val="20"/>
    </w:rPr>
  </w:style>
  <w:style w:type="paragraph" w:styleId="Revision">
    <w:name w:val="Revision"/>
    <w:hidden/>
    <w:uiPriority w:val="99"/>
    <w:semiHidden/>
    <w:rsid w:val="0074152E"/>
    <w:pPr>
      <w:spacing w:after="0" w:line="240" w:lineRule="auto"/>
    </w:pPr>
  </w:style>
</w:styles>
</file>

<file path=word/webSettings.xml><?xml version="1.0" encoding="utf-8"?>
<w:webSettings xmlns:r="http://schemas.openxmlformats.org/officeDocument/2006/relationships" xmlns:w="http://schemas.openxmlformats.org/wordprocessingml/2006/main">
  <w:divs>
    <w:div w:id="9480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arb.ca.gov/sites/default/files/2024-12/The%20Climate%20Corporate%20Data%20Accountability%20Act%20Enforcement%20Notice%20Dec%202024.pdf" TargetMode="External"/><Relationship Id="rId3" Type="http://schemas.openxmlformats.org/officeDocument/2006/relationships/settings" Target="settings.xml"/><Relationship Id="rId7" Type="http://schemas.openxmlformats.org/officeDocument/2006/relationships/hyperlink" Target="https://ww2.arb.ca.gov/sites/default/files/2025-07/FAQs%20Regarding%20California%20Climate%20Disclosure%20Requirem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2.arb.ca.gov/sites/default/files/2025-07/FAQs%20Regarding%20California%20Climate%20Disclosure%20Requirements.pdf" TargetMode="External"/><Relationship Id="rId11" Type="http://schemas.microsoft.com/office/2011/relationships/people" Target="people.xml"/><Relationship Id="rId5" Type="http://schemas.openxmlformats.org/officeDocument/2006/relationships/hyperlink" Target="https://ww2.arb.ca.gov/sites/default/files/2024-12/The%20Climate%20Corporate%20Data%20Accountability%20Act%20Enforcement%20Notice%20Dec%20202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Sullivan &amp; Cromwell LLP</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 June M.</dc:creator>
  <cp:lastModifiedBy>randi</cp:lastModifiedBy>
  <cp:revision>2</cp:revision>
  <dcterms:created xsi:type="dcterms:W3CDTF">2025-07-31T01:51:00Z</dcterms:created>
  <dcterms:modified xsi:type="dcterms:W3CDTF">2025-07-31T01:51:00Z</dcterms:modified>
</cp:coreProperties>
</file>