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CDBCB" w14:textId="2DB39728" w:rsidR="00D07B9F" w:rsidRPr="00DA61C8" w:rsidRDefault="00A05BDC" w:rsidP="001E5D73">
      <w:pPr>
        <w:spacing w:after="36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Facilitator</w:t>
      </w:r>
      <w:bookmarkStart w:id="0" w:name="_GoBack"/>
      <w:bookmarkEnd w:id="0"/>
      <w:r w:rsidR="00CD0411" w:rsidRPr="00DA61C8">
        <w:rPr>
          <w:rFonts w:ascii="Times New Roman" w:hAnsi="Times New Roman" w:cs="Times New Roman"/>
          <w:b/>
          <w:sz w:val="32"/>
          <w:szCs w:val="24"/>
        </w:rPr>
        <w:t xml:space="preserve"> Body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850"/>
      </w:tblGrid>
      <w:tr w:rsidR="00CD0411" w:rsidRPr="00DA61C8" w14:paraId="7AEFA0EE" w14:textId="77777777" w:rsidTr="00DA61C8">
        <w:tc>
          <w:tcPr>
            <w:tcW w:w="4855" w:type="dxa"/>
            <w:shd w:val="clear" w:color="auto" w:fill="4B90CD"/>
          </w:tcPr>
          <w:p w14:paraId="1588BFD5" w14:textId="77777777" w:rsidR="00CD0411" w:rsidRPr="00DA61C8" w:rsidRDefault="00CD0411" w:rsidP="00DA61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>GESTURE</w:t>
            </w:r>
          </w:p>
        </w:tc>
        <w:tc>
          <w:tcPr>
            <w:tcW w:w="5850" w:type="dxa"/>
            <w:shd w:val="clear" w:color="auto" w:fill="4B90CD"/>
          </w:tcPr>
          <w:p w14:paraId="3A3413FD" w14:textId="77777777" w:rsidR="00CD0411" w:rsidRPr="00DA61C8" w:rsidRDefault="00CD0411" w:rsidP="00DA61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>INTERPRETATION</w:t>
            </w:r>
          </w:p>
        </w:tc>
      </w:tr>
      <w:tr w:rsidR="00CD0411" w:rsidRPr="00DA61C8" w14:paraId="067766AA" w14:textId="77777777" w:rsidTr="00DA61C8">
        <w:trPr>
          <w:trHeight w:val="1268"/>
        </w:trPr>
        <w:tc>
          <w:tcPr>
            <w:tcW w:w="4855" w:type="dxa"/>
            <w:vAlign w:val="center"/>
          </w:tcPr>
          <w:p w14:paraId="55FDCA5D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Smiling and nodding</w:t>
            </w:r>
          </w:p>
        </w:tc>
        <w:tc>
          <w:tcPr>
            <w:tcW w:w="5850" w:type="dxa"/>
            <w:vAlign w:val="center"/>
          </w:tcPr>
          <w:p w14:paraId="04492E07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A signal of encouragement given to a participant who has been hesitant to speak.</w:t>
            </w:r>
          </w:p>
        </w:tc>
      </w:tr>
      <w:tr w:rsidR="00CD0411" w:rsidRPr="00DA61C8" w14:paraId="28B93822" w14:textId="77777777" w:rsidTr="00DA61C8">
        <w:trPr>
          <w:trHeight w:val="1610"/>
        </w:trPr>
        <w:tc>
          <w:tcPr>
            <w:tcW w:w="4855" w:type="dxa"/>
            <w:vAlign w:val="center"/>
          </w:tcPr>
          <w:p w14:paraId="2DAA2A00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Lifting an eyebrow</w:t>
            </w:r>
          </w:p>
        </w:tc>
        <w:tc>
          <w:tcPr>
            <w:tcW w:w="5850" w:type="dxa"/>
            <w:vAlign w:val="center"/>
          </w:tcPr>
          <w:p w14:paraId="741A1C36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An indication of interest, possibly surprise, or questioning what was said. This gesture may encourage a participant to continue speaking.</w:t>
            </w:r>
          </w:p>
        </w:tc>
      </w:tr>
      <w:tr w:rsidR="00CD0411" w:rsidRPr="00DA61C8" w14:paraId="08A328F7" w14:textId="77777777" w:rsidTr="00DA61C8">
        <w:trPr>
          <w:trHeight w:val="890"/>
        </w:trPr>
        <w:tc>
          <w:tcPr>
            <w:tcW w:w="4855" w:type="dxa"/>
            <w:vAlign w:val="center"/>
          </w:tcPr>
          <w:p w14:paraId="64AB3535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Tilting head and lifting eyebrows</w:t>
            </w:r>
          </w:p>
        </w:tc>
        <w:tc>
          <w:tcPr>
            <w:tcW w:w="5850" w:type="dxa"/>
            <w:vAlign w:val="center"/>
          </w:tcPr>
          <w:p w14:paraId="17252FB0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Similar to above but slightly more noticeable.</w:t>
            </w:r>
          </w:p>
        </w:tc>
      </w:tr>
      <w:tr w:rsidR="00CD0411" w:rsidRPr="00DA61C8" w14:paraId="08E072A5" w14:textId="77777777" w:rsidTr="00DA61C8">
        <w:trPr>
          <w:trHeight w:val="1259"/>
        </w:trPr>
        <w:tc>
          <w:tcPr>
            <w:tcW w:w="4855" w:type="dxa"/>
            <w:vAlign w:val="center"/>
          </w:tcPr>
          <w:p w14:paraId="76673DC8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Gesturing with open hand from wrist toward participant</w:t>
            </w:r>
          </w:p>
        </w:tc>
        <w:tc>
          <w:tcPr>
            <w:tcW w:w="5850" w:type="dxa"/>
            <w:vAlign w:val="center"/>
          </w:tcPr>
          <w:p w14:paraId="71BA0861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An invitation to speak.</w:t>
            </w:r>
          </w:p>
        </w:tc>
      </w:tr>
      <w:tr w:rsidR="00CD0411" w:rsidRPr="00DA61C8" w14:paraId="4A5E27F1" w14:textId="77777777" w:rsidTr="00DA61C8">
        <w:trPr>
          <w:trHeight w:val="881"/>
        </w:trPr>
        <w:tc>
          <w:tcPr>
            <w:tcW w:w="4855" w:type="dxa"/>
            <w:vAlign w:val="center"/>
          </w:tcPr>
          <w:p w14:paraId="259ACBBB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Gesturing with both open hands, palms up</w:t>
            </w:r>
          </w:p>
        </w:tc>
        <w:tc>
          <w:tcPr>
            <w:tcW w:w="5850" w:type="dxa"/>
            <w:vAlign w:val="center"/>
          </w:tcPr>
          <w:p w14:paraId="3E8689B8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We’ve encountered a dilemma; what do we do?</w:t>
            </w:r>
          </w:p>
        </w:tc>
      </w:tr>
      <w:tr w:rsidR="00CD0411" w:rsidRPr="00DA61C8" w14:paraId="5B5131A8" w14:textId="77777777" w:rsidTr="00DA61C8">
        <w:trPr>
          <w:trHeight w:val="530"/>
        </w:trPr>
        <w:tc>
          <w:tcPr>
            <w:tcW w:w="4855" w:type="dxa"/>
            <w:vAlign w:val="center"/>
          </w:tcPr>
          <w:p w14:paraId="192F2910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Pointing to a participant</w:t>
            </w:r>
          </w:p>
        </w:tc>
        <w:tc>
          <w:tcPr>
            <w:tcW w:w="5850" w:type="dxa"/>
            <w:vAlign w:val="center"/>
          </w:tcPr>
          <w:p w14:paraId="4146FC7D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It’s your turn to speak.</w:t>
            </w:r>
          </w:p>
        </w:tc>
      </w:tr>
      <w:tr w:rsidR="00CD0411" w:rsidRPr="00DA61C8" w14:paraId="3AC57E42" w14:textId="77777777" w:rsidTr="00DA61C8">
        <w:trPr>
          <w:trHeight w:val="1610"/>
        </w:trPr>
        <w:tc>
          <w:tcPr>
            <w:tcW w:w="4855" w:type="dxa"/>
            <w:vAlign w:val="center"/>
          </w:tcPr>
          <w:p w14:paraId="54EAE999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Pointing to one person while holding up other hand to another participant</w:t>
            </w:r>
          </w:p>
        </w:tc>
        <w:tc>
          <w:tcPr>
            <w:tcW w:w="5850" w:type="dxa"/>
            <w:vAlign w:val="center"/>
          </w:tcPr>
          <w:p w14:paraId="53107E2E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Two people want to speak at once, so the moderator is the traffic cop. First one person talks, then the other.</w:t>
            </w:r>
          </w:p>
        </w:tc>
      </w:tr>
      <w:tr w:rsidR="00CD0411" w:rsidRPr="00DA61C8" w14:paraId="12C3A953" w14:textId="77777777" w:rsidTr="00DA61C8">
        <w:trPr>
          <w:trHeight w:val="539"/>
        </w:trPr>
        <w:tc>
          <w:tcPr>
            <w:tcW w:w="4855" w:type="dxa"/>
            <w:vAlign w:val="center"/>
          </w:tcPr>
          <w:p w14:paraId="458971C2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Leaning into the table</w:t>
            </w:r>
          </w:p>
        </w:tc>
        <w:tc>
          <w:tcPr>
            <w:tcW w:w="5850" w:type="dxa"/>
            <w:vAlign w:val="center"/>
          </w:tcPr>
          <w:p w14:paraId="44DDF9C4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I’m interested; tell me more.</w:t>
            </w:r>
          </w:p>
        </w:tc>
      </w:tr>
      <w:tr w:rsidR="00CD0411" w:rsidRPr="00DA61C8" w14:paraId="3B417D31" w14:textId="77777777" w:rsidTr="00DA61C8">
        <w:trPr>
          <w:trHeight w:val="881"/>
        </w:trPr>
        <w:tc>
          <w:tcPr>
            <w:tcW w:w="4855" w:type="dxa"/>
            <w:vAlign w:val="center"/>
          </w:tcPr>
          <w:p w14:paraId="774395D0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Leaning back from the table</w:t>
            </w:r>
          </w:p>
        </w:tc>
        <w:tc>
          <w:tcPr>
            <w:tcW w:w="5850" w:type="dxa"/>
            <w:vAlign w:val="center"/>
          </w:tcPr>
          <w:p w14:paraId="76D74365" w14:textId="77777777" w:rsidR="00CD0411" w:rsidRPr="00DA61C8" w:rsidRDefault="00CD0411" w:rsidP="00DA61C8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A61C8">
              <w:rPr>
                <w:rFonts w:ascii="Times New Roman" w:hAnsi="Times New Roman" w:cs="Times New Roman"/>
                <w:sz w:val="36"/>
                <w:szCs w:val="24"/>
              </w:rPr>
              <w:t>Go ahead and talk. I’m just listening.</w:t>
            </w:r>
          </w:p>
        </w:tc>
      </w:tr>
    </w:tbl>
    <w:p w14:paraId="5A6C923F" w14:textId="77777777" w:rsidR="00CD0411" w:rsidRDefault="00CD0411" w:rsidP="00DA61C8">
      <w:pPr>
        <w:jc w:val="center"/>
        <w:rPr>
          <w:rFonts w:ascii="Times New Roman" w:hAnsi="Times New Roman" w:cs="Times New Roman"/>
          <w:szCs w:val="24"/>
        </w:rPr>
      </w:pPr>
    </w:p>
    <w:p w14:paraId="54D12E79" w14:textId="0604FF8A" w:rsidR="00DA61C8" w:rsidRDefault="00DA61C8" w:rsidP="00DA61C8">
      <w:pPr>
        <w:jc w:val="center"/>
        <w:rPr>
          <w:rFonts w:ascii="Times New Roman" w:hAnsi="Times New Roman" w:cs="Times New Roman"/>
          <w:szCs w:val="24"/>
        </w:rPr>
      </w:pPr>
    </w:p>
    <w:p w14:paraId="1B221825" w14:textId="77777777" w:rsidR="00DA61C8" w:rsidRDefault="00DA61C8" w:rsidP="00DA61C8">
      <w:pPr>
        <w:jc w:val="center"/>
        <w:rPr>
          <w:rFonts w:ascii="Times New Roman" w:hAnsi="Times New Roman" w:cs="Times New Roman"/>
          <w:szCs w:val="24"/>
        </w:rPr>
      </w:pPr>
    </w:p>
    <w:p w14:paraId="5EDB30FC" w14:textId="77777777" w:rsidR="00DA61C8" w:rsidRDefault="00DA61C8" w:rsidP="00DA61C8">
      <w:pPr>
        <w:jc w:val="center"/>
        <w:rPr>
          <w:rFonts w:ascii="Times New Roman" w:hAnsi="Times New Roman" w:cs="Times New Roman"/>
          <w:szCs w:val="24"/>
        </w:rPr>
      </w:pPr>
    </w:p>
    <w:p w14:paraId="4C3C4818" w14:textId="77777777" w:rsidR="00DA61C8" w:rsidRDefault="00DA61C8" w:rsidP="00DA61C8">
      <w:pPr>
        <w:jc w:val="center"/>
        <w:rPr>
          <w:rFonts w:ascii="Times New Roman" w:hAnsi="Times New Roman" w:cs="Times New Roman"/>
          <w:szCs w:val="24"/>
        </w:rPr>
      </w:pPr>
    </w:p>
    <w:p w14:paraId="4B33A1CA" w14:textId="77777777" w:rsidR="00DA61C8" w:rsidRDefault="00DA61C8" w:rsidP="00DA61C8">
      <w:pPr>
        <w:jc w:val="center"/>
        <w:rPr>
          <w:rFonts w:ascii="Times New Roman" w:hAnsi="Times New Roman" w:cs="Times New Roman"/>
          <w:szCs w:val="24"/>
        </w:rPr>
      </w:pPr>
    </w:p>
    <w:p w14:paraId="586E2634" w14:textId="77777777" w:rsidR="00DA61C8" w:rsidRDefault="00DA61C8" w:rsidP="00DA61C8">
      <w:pPr>
        <w:jc w:val="center"/>
        <w:rPr>
          <w:rFonts w:ascii="Times New Roman" w:hAnsi="Times New Roman" w:cs="Times New Roman"/>
          <w:szCs w:val="24"/>
        </w:rPr>
      </w:pPr>
    </w:p>
    <w:p w14:paraId="2E2821AF" w14:textId="77777777" w:rsidR="00DA61C8" w:rsidRDefault="00DA61C8" w:rsidP="00DA61C8">
      <w:pPr>
        <w:jc w:val="center"/>
        <w:rPr>
          <w:rFonts w:ascii="Times New Roman" w:hAnsi="Times New Roman" w:cs="Times New Roman"/>
          <w:szCs w:val="24"/>
        </w:rPr>
      </w:pPr>
    </w:p>
    <w:p w14:paraId="5569A562" w14:textId="77777777" w:rsidR="00DA61C8" w:rsidRDefault="00DA61C8" w:rsidP="00DA61C8">
      <w:pPr>
        <w:jc w:val="center"/>
        <w:rPr>
          <w:rFonts w:ascii="Times New Roman" w:hAnsi="Times New Roman" w:cs="Times New Roman"/>
          <w:szCs w:val="24"/>
        </w:rPr>
      </w:pPr>
    </w:p>
    <w:p w14:paraId="4B80B008" w14:textId="77777777" w:rsidR="00DA61C8" w:rsidRDefault="00DA61C8" w:rsidP="00DA61C8">
      <w:pPr>
        <w:jc w:val="center"/>
        <w:rPr>
          <w:rFonts w:ascii="Times New Roman" w:hAnsi="Times New Roman" w:cs="Times New Roman"/>
          <w:szCs w:val="24"/>
        </w:rPr>
      </w:pPr>
    </w:p>
    <w:p w14:paraId="4948598E" w14:textId="77777777" w:rsidR="00DA61C8" w:rsidRP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  <w:r w:rsidRPr="00DA61C8">
        <w:rPr>
          <w:rFonts w:ascii="Times New Roman" w:hAnsi="Times New Roman" w:cs="Times New Roman"/>
          <w:sz w:val="20"/>
          <w:szCs w:val="24"/>
        </w:rPr>
        <w:t xml:space="preserve">Source: </w:t>
      </w:r>
    </w:p>
    <w:p w14:paraId="4999315D" w14:textId="647B67C8" w:rsidR="00DA61C8" w:rsidRP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  <w:r w:rsidRPr="00DA61C8">
        <w:rPr>
          <w:rFonts w:ascii="Times New Roman" w:hAnsi="Times New Roman" w:cs="Times New Roman"/>
          <w:color w:val="222222"/>
          <w:sz w:val="20"/>
        </w:rPr>
        <w:t xml:space="preserve">Krueger, R. A. (1997). </w:t>
      </w:r>
      <w:r w:rsidRPr="00DA61C8">
        <w:rPr>
          <w:rFonts w:ascii="Times New Roman" w:hAnsi="Times New Roman" w:cs="Times New Roman"/>
          <w:i/>
          <w:iCs/>
          <w:color w:val="222222"/>
          <w:sz w:val="20"/>
        </w:rPr>
        <w:t>Moderating focus groups</w:t>
      </w:r>
      <w:r w:rsidRPr="00DA61C8">
        <w:rPr>
          <w:rFonts w:ascii="Times New Roman" w:hAnsi="Times New Roman" w:cs="Times New Roman"/>
          <w:color w:val="222222"/>
          <w:sz w:val="20"/>
        </w:rPr>
        <w:t xml:space="preserve"> (Vol. 4). Sage publications.</w:t>
      </w:r>
    </w:p>
    <w:p w14:paraId="7733E1CA" w14:textId="77777777" w:rsidR="00E51873" w:rsidRPr="00DA61C8" w:rsidRDefault="00E51873" w:rsidP="00DA61C8">
      <w:pPr>
        <w:rPr>
          <w:rFonts w:ascii="Times New Roman" w:hAnsi="Times New Roman" w:cs="Times New Roman"/>
          <w:szCs w:val="24"/>
        </w:rPr>
      </w:pPr>
      <w:r w:rsidRPr="00DA61C8">
        <w:rPr>
          <w:rFonts w:ascii="Times New Roman" w:hAnsi="Times New Roman" w:cs="Times New Roman"/>
          <w:szCs w:val="24"/>
        </w:rPr>
        <w:br w:type="page"/>
      </w:r>
    </w:p>
    <w:p w14:paraId="600AE9C5" w14:textId="4B881F5E" w:rsidR="00E51873" w:rsidRPr="00DA61C8" w:rsidRDefault="00DA61C8" w:rsidP="00DA61C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61C8">
        <w:rPr>
          <w:rFonts w:ascii="Times New Roman" w:hAnsi="Times New Roman" w:cs="Times New Roman"/>
          <w:b/>
          <w:sz w:val="32"/>
          <w:szCs w:val="24"/>
        </w:rPr>
        <w:lastRenderedPageBreak/>
        <w:t>Probing</w:t>
      </w:r>
    </w:p>
    <w:p w14:paraId="70BE31C4" w14:textId="77777777" w:rsidR="00DA61C8" w:rsidRPr="00DA61C8" w:rsidRDefault="00DA61C8" w:rsidP="00DA61C8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2B485D8A" w14:textId="77777777" w:rsidR="006511BD" w:rsidRPr="00DA61C8" w:rsidRDefault="0007304C" w:rsidP="00DA61C8">
      <w:pPr>
        <w:rPr>
          <w:rFonts w:ascii="Times New Roman" w:hAnsi="Times New Roman" w:cs="Times New Roman"/>
          <w:szCs w:val="24"/>
        </w:rPr>
      </w:pPr>
      <w:r w:rsidRPr="00DA61C8">
        <w:rPr>
          <w:rFonts w:ascii="Times New Roman" w:hAnsi="Times New Roman" w:cs="Times New Roman"/>
          <w:szCs w:val="24"/>
        </w:rPr>
        <w:t xml:space="preserve">An </w:t>
      </w:r>
      <w:r w:rsidR="009A2D53" w:rsidRPr="00DA61C8">
        <w:rPr>
          <w:rFonts w:ascii="Times New Roman" w:hAnsi="Times New Roman" w:cs="Times New Roman"/>
          <w:szCs w:val="24"/>
        </w:rPr>
        <w:t xml:space="preserve">essential technique is the probe, the request for additional information. In most conversations and group discussions, there is a tendency for people to make vague comments that could have multiple meanings or to say, “I agree.” When this occurs, the probe is an effective technique to elicit additional information. </w:t>
      </w:r>
      <w:r w:rsidR="006511BD" w:rsidRPr="00DA61C8">
        <w:rPr>
          <w:rFonts w:ascii="Times New Roman" w:hAnsi="Times New Roman" w:cs="Times New Roman"/>
          <w:szCs w:val="24"/>
        </w:rPr>
        <w:t>It is usually best to use the probe early in the conversation to communicate the importance of precision in responses and then to use it sparingly in later discussion.</w:t>
      </w:r>
    </w:p>
    <w:p w14:paraId="09839A62" w14:textId="77777777" w:rsidR="006511BD" w:rsidRPr="00DA61C8" w:rsidRDefault="006511BD" w:rsidP="00DA61C8">
      <w:pPr>
        <w:rPr>
          <w:rFonts w:ascii="Times New Roman" w:hAnsi="Times New Roman" w:cs="Times New Roman"/>
          <w:szCs w:val="24"/>
        </w:rPr>
      </w:pPr>
    </w:p>
    <w:p w14:paraId="5A42CF23" w14:textId="1239388C" w:rsidR="009A2D53" w:rsidRPr="00DA61C8" w:rsidRDefault="009A2D53" w:rsidP="00DA61C8">
      <w:pPr>
        <w:rPr>
          <w:rFonts w:ascii="Times New Roman" w:hAnsi="Times New Roman" w:cs="Times New Roman"/>
          <w:szCs w:val="24"/>
        </w:rPr>
      </w:pPr>
      <w:r w:rsidRPr="00DA61C8">
        <w:rPr>
          <w:rFonts w:ascii="Times New Roman" w:hAnsi="Times New Roman" w:cs="Times New Roman"/>
          <w:szCs w:val="24"/>
        </w:rPr>
        <w:t xml:space="preserve">Typically, probing involves such comments as the following: </w:t>
      </w:r>
    </w:p>
    <w:p w14:paraId="06067D9D" w14:textId="77777777" w:rsidR="009A2D53" w:rsidRPr="00DA61C8" w:rsidRDefault="009A2D53" w:rsidP="00DA61C8">
      <w:pPr>
        <w:rPr>
          <w:rFonts w:ascii="Times New Roman" w:hAnsi="Times New Roman" w:cs="Times New Roman"/>
          <w:szCs w:val="24"/>
        </w:rPr>
      </w:pPr>
    </w:p>
    <w:p w14:paraId="6BB2CDCD" w14:textId="5D88486F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“Would you explain further?”</w:t>
      </w:r>
    </w:p>
    <w:p w14:paraId="14C4D0BB" w14:textId="7317E1E4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“Can you give me an example of what you mean?”</w:t>
      </w:r>
    </w:p>
    <w:p w14:paraId="38717164" w14:textId="4096FB81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“Would you say more?”</w:t>
      </w:r>
    </w:p>
    <w:p w14:paraId="59FC56B3" w14:textId="5CF235EE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“Is there anything else?”</w:t>
      </w:r>
    </w:p>
    <w:p w14:paraId="7E88B0C3" w14:textId="389BA451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“Please describe what you mean.”</w:t>
      </w:r>
    </w:p>
    <w:p w14:paraId="3D27BD72" w14:textId="23155450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“I don’t understand.”</w:t>
      </w:r>
    </w:p>
    <w:p w14:paraId="16CBCA1C" w14:textId="265F9725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“Tell me more about that.”</w:t>
      </w:r>
    </w:p>
    <w:p w14:paraId="070EE816" w14:textId="72DD086E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“How does that work?”</w:t>
      </w:r>
    </w:p>
    <w:p w14:paraId="270B63C6" w14:textId="19289035" w:rsidR="006511BD" w:rsidRPr="00DA61C8" w:rsidRDefault="006511BD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“What experiences have you had that make you feel that way?”</w:t>
      </w:r>
    </w:p>
    <w:p w14:paraId="042788C3" w14:textId="77777777" w:rsidR="00D46CAF" w:rsidRPr="00DA61C8" w:rsidRDefault="00D46CAF" w:rsidP="00DA61C8">
      <w:pPr>
        <w:rPr>
          <w:rFonts w:ascii="Times New Roman" w:hAnsi="Times New Roman" w:cs="Times New Roman"/>
          <w:szCs w:val="24"/>
        </w:rPr>
      </w:pPr>
    </w:p>
    <w:p w14:paraId="2697DF51" w14:textId="00B0739B" w:rsidR="009A2D53" w:rsidRPr="00DA61C8" w:rsidRDefault="009A2D53" w:rsidP="00DA61C8">
      <w:pPr>
        <w:rPr>
          <w:rFonts w:ascii="Times New Roman" w:hAnsi="Times New Roman" w:cs="Times New Roman"/>
          <w:szCs w:val="24"/>
        </w:rPr>
      </w:pPr>
      <w:r w:rsidRPr="00DA61C8">
        <w:rPr>
          <w:rFonts w:ascii="Times New Roman" w:hAnsi="Times New Roman" w:cs="Times New Roman"/>
          <w:szCs w:val="24"/>
        </w:rPr>
        <w:t>A few probes used in this way underscore the impression that more detailed answers are needed and wanted. Sometimes the moderator might ask a probe question to the entire group</w:t>
      </w:r>
      <w:r w:rsidR="006511BD" w:rsidRPr="00DA61C8">
        <w:rPr>
          <w:rFonts w:ascii="Times New Roman" w:hAnsi="Times New Roman" w:cs="Times New Roman"/>
          <w:szCs w:val="24"/>
        </w:rPr>
        <w:t xml:space="preserve"> to elicit additional responses</w:t>
      </w:r>
      <w:r w:rsidRPr="00DA61C8">
        <w:rPr>
          <w:rFonts w:ascii="Times New Roman" w:hAnsi="Times New Roman" w:cs="Times New Roman"/>
          <w:szCs w:val="24"/>
        </w:rPr>
        <w:t>:</w:t>
      </w:r>
    </w:p>
    <w:p w14:paraId="420D9EB7" w14:textId="77777777" w:rsidR="009A2D53" w:rsidRPr="00DA61C8" w:rsidRDefault="009A2D53" w:rsidP="00DA61C8">
      <w:pPr>
        <w:rPr>
          <w:rFonts w:ascii="Times New Roman" w:hAnsi="Times New Roman" w:cs="Times New Roman"/>
          <w:szCs w:val="24"/>
        </w:rPr>
      </w:pPr>
    </w:p>
    <w:p w14:paraId="49EFB3EC" w14:textId="38342F8C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“Who else has something?”</w:t>
      </w:r>
    </w:p>
    <w:p w14:paraId="4F13731E" w14:textId="6F0DC248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“What about the rest of you?”</w:t>
      </w:r>
    </w:p>
    <w:p w14:paraId="70FE83A8" w14:textId="1A542213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“I see people nodding their heads; tell me about it.”</w:t>
      </w:r>
    </w:p>
    <w:p w14:paraId="19DBA4F6" w14:textId="6464FDFF" w:rsidR="009A2D53" w:rsidRPr="00DA61C8" w:rsidRDefault="009A2D53" w:rsidP="00DA61C8">
      <w:pPr>
        <w:ind w:left="720"/>
        <w:rPr>
          <w:rFonts w:ascii="Times New Roman" w:hAnsi="Times New Roman" w:cs="Times New Roman"/>
          <w:sz w:val="36"/>
          <w:szCs w:val="24"/>
        </w:rPr>
      </w:pPr>
      <w:r w:rsidRPr="00DA61C8">
        <w:rPr>
          <w:rFonts w:ascii="Times New Roman" w:hAnsi="Times New Roman" w:cs="Times New Roman"/>
          <w:sz w:val="36"/>
          <w:szCs w:val="24"/>
        </w:rPr>
        <w:t>“We want to hear all the different points of view. Who else has something that might be a bit different?”</w:t>
      </w:r>
    </w:p>
    <w:p w14:paraId="7D2BF90B" w14:textId="77777777" w:rsidR="009A2D53" w:rsidRPr="00DA61C8" w:rsidRDefault="009A2D53" w:rsidP="00DA61C8">
      <w:pPr>
        <w:rPr>
          <w:rFonts w:ascii="Times New Roman" w:hAnsi="Times New Roman" w:cs="Times New Roman"/>
          <w:szCs w:val="24"/>
        </w:rPr>
      </w:pPr>
    </w:p>
    <w:p w14:paraId="11711667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39E92976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40E85940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2CB4CDBC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2F4564D6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143A40C8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19D406BC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6587DE18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2EA1C664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0F44ACCB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58A59FA4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64EA43BF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0A35E92E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513F47AD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03AD9A02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35F9F041" w14:textId="77777777" w:rsid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</w:p>
    <w:p w14:paraId="47F2FCBE" w14:textId="3A751D13" w:rsidR="009A2D53" w:rsidRP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  <w:r w:rsidRPr="00DA61C8">
        <w:rPr>
          <w:rFonts w:ascii="Times New Roman" w:hAnsi="Times New Roman" w:cs="Times New Roman"/>
          <w:sz w:val="20"/>
          <w:szCs w:val="24"/>
        </w:rPr>
        <w:t xml:space="preserve">Source: </w:t>
      </w:r>
    </w:p>
    <w:p w14:paraId="72B25BAC" w14:textId="09355473" w:rsidR="00DA61C8" w:rsidRPr="00DA61C8" w:rsidRDefault="00DA61C8" w:rsidP="00DA61C8">
      <w:pPr>
        <w:rPr>
          <w:rFonts w:ascii="Times New Roman" w:hAnsi="Times New Roman" w:cs="Times New Roman"/>
          <w:sz w:val="20"/>
          <w:szCs w:val="24"/>
        </w:rPr>
      </w:pPr>
      <w:r w:rsidRPr="00DA61C8">
        <w:rPr>
          <w:rFonts w:ascii="Times New Roman" w:hAnsi="Times New Roman" w:cs="Times New Roman"/>
          <w:color w:val="222222"/>
          <w:sz w:val="20"/>
        </w:rPr>
        <w:t xml:space="preserve">Krueger, R. A. (1997). </w:t>
      </w:r>
      <w:r w:rsidRPr="00DA61C8">
        <w:rPr>
          <w:rFonts w:ascii="Times New Roman" w:hAnsi="Times New Roman" w:cs="Times New Roman"/>
          <w:i/>
          <w:iCs/>
          <w:color w:val="222222"/>
          <w:sz w:val="20"/>
        </w:rPr>
        <w:t>Moderating focus groups</w:t>
      </w:r>
      <w:r w:rsidRPr="00DA61C8">
        <w:rPr>
          <w:rFonts w:ascii="Times New Roman" w:hAnsi="Times New Roman" w:cs="Times New Roman"/>
          <w:color w:val="222222"/>
          <w:sz w:val="20"/>
        </w:rPr>
        <w:t xml:space="preserve"> (Vol. 4). Sage publications.</w:t>
      </w:r>
    </w:p>
    <w:sectPr w:rsidR="00DA61C8" w:rsidRPr="00DA61C8" w:rsidSect="00DA6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EBBD" w14:textId="77777777" w:rsidR="002568B8" w:rsidRDefault="002568B8" w:rsidP="002568B8">
      <w:r>
        <w:separator/>
      </w:r>
    </w:p>
  </w:endnote>
  <w:endnote w:type="continuationSeparator" w:id="0">
    <w:p w14:paraId="75EC7152" w14:textId="77777777" w:rsidR="002568B8" w:rsidRDefault="002568B8" w:rsidP="0025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F5DD8" w14:textId="77777777" w:rsidR="002568B8" w:rsidRDefault="002568B8" w:rsidP="002568B8">
      <w:r>
        <w:separator/>
      </w:r>
    </w:p>
  </w:footnote>
  <w:footnote w:type="continuationSeparator" w:id="0">
    <w:p w14:paraId="3458F7BB" w14:textId="77777777" w:rsidR="002568B8" w:rsidRDefault="002568B8" w:rsidP="0025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11"/>
    <w:rsid w:val="0007304C"/>
    <w:rsid w:val="001E5D73"/>
    <w:rsid w:val="00256547"/>
    <w:rsid w:val="002568B8"/>
    <w:rsid w:val="004B7F37"/>
    <w:rsid w:val="006511BD"/>
    <w:rsid w:val="00886DA2"/>
    <w:rsid w:val="009A2D53"/>
    <w:rsid w:val="00A05BDC"/>
    <w:rsid w:val="00C14C3C"/>
    <w:rsid w:val="00CD0411"/>
    <w:rsid w:val="00D07B9F"/>
    <w:rsid w:val="00D46CAF"/>
    <w:rsid w:val="00DA61C8"/>
    <w:rsid w:val="00E046C0"/>
    <w:rsid w:val="00E5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5766"/>
  <w15:chartTrackingRefBased/>
  <w15:docId w15:val="{241EF0A4-059A-4EE3-92B5-B5CC8AE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3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B8"/>
  </w:style>
  <w:style w:type="paragraph" w:styleId="Footer">
    <w:name w:val="footer"/>
    <w:basedOn w:val="Normal"/>
    <w:link w:val="FooterChar"/>
    <w:uiPriority w:val="99"/>
    <w:unhideWhenUsed/>
    <w:rsid w:val="00256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B8"/>
  </w:style>
  <w:style w:type="paragraph" w:styleId="FootnoteText">
    <w:name w:val="footnote text"/>
    <w:basedOn w:val="Normal"/>
    <w:link w:val="FootnoteTextChar"/>
    <w:uiPriority w:val="99"/>
    <w:semiHidden/>
    <w:unhideWhenUsed/>
    <w:rsid w:val="002565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4904B2265824490E21765AB785665" ma:contentTypeVersion="2" ma:contentTypeDescription="Create a new document." ma:contentTypeScope="" ma:versionID="9e1d179488f4f5fcd632428252852221">
  <xsd:schema xmlns:xsd="http://www.w3.org/2001/XMLSchema" xmlns:xs="http://www.w3.org/2001/XMLSchema" xmlns:p="http://schemas.microsoft.com/office/2006/metadata/properties" xmlns:ns2="1d6749b6-fa29-4f32-b0b1-abdd141ce797" targetNamespace="http://schemas.microsoft.com/office/2006/metadata/properties" ma:root="true" ma:fieldsID="ad38590383e6430d3409c2dabbc963e3" ns2:_="">
    <xsd:import namespace="1d6749b6-fa29-4f32-b0b1-abdd141ce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49b6-fa29-4f32-b0b1-abdd141ce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D3D8-63BA-4E3C-B261-03099B735C62}"/>
</file>

<file path=customXml/itemProps2.xml><?xml version="1.0" encoding="utf-8"?>
<ds:datastoreItem xmlns:ds="http://schemas.openxmlformats.org/officeDocument/2006/customXml" ds:itemID="{EB608F05-6423-4D87-89CC-4A04A5FD6C4B}">
  <ds:schemaRefs>
    <ds:schemaRef ds:uri="aa8db45e-83b8-4b77-bb9f-2cf61acb836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C94ABF-3F8A-4B67-AEB7-40272349F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D44FB-60A3-42A5-B26B-AF215823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Rebecca Garrow</cp:lastModifiedBy>
  <cp:revision>12</cp:revision>
  <dcterms:created xsi:type="dcterms:W3CDTF">2016-02-22T23:52:00Z</dcterms:created>
  <dcterms:modified xsi:type="dcterms:W3CDTF">2017-01-24T18:35:00Z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0x010100E344904B2265824490E21765AB785665</vt:lpwstr>
  </property>
</Properties>
</file>