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C944" w14:textId="77777777" w:rsidR="00C62A5A" w:rsidRPr="00E43CFD" w:rsidRDefault="00C62A5A" w:rsidP="00E43CFD">
      <w:pPr>
        <w:jc w:val="center"/>
        <w:outlineLvl w:val="0"/>
        <w:rPr>
          <w:b/>
          <w:color w:val="0033CC"/>
        </w:rPr>
      </w:pPr>
      <w:r w:rsidRPr="00E43CFD">
        <w:rPr>
          <w:b/>
          <w:color w:val="0033CC"/>
        </w:rPr>
        <w:t>Research, Technology and Development Evaluation</w:t>
      </w:r>
      <w:r w:rsidR="00F93794">
        <w:rPr>
          <w:b/>
          <w:color w:val="0033CC"/>
        </w:rPr>
        <w:t xml:space="preserve"> </w:t>
      </w:r>
      <w:r w:rsidR="00F93794" w:rsidRPr="00F93794">
        <w:rPr>
          <w:b/>
          <w:color w:val="0033CC"/>
        </w:rPr>
        <w:t xml:space="preserve">(RT&amp;D) </w:t>
      </w:r>
      <w:r w:rsidRPr="00E43CFD">
        <w:rPr>
          <w:b/>
          <w:color w:val="0033CC"/>
        </w:rPr>
        <w:t>Topical Interest Group</w:t>
      </w:r>
      <w:r w:rsidR="00AE57B8">
        <w:rPr>
          <w:b/>
          <w:color w:val="0033CC"/>
        </w:rPr>
        <w:t xml:space="preserve"> (TIG)</w:t>
      </w:r>
    </w:p>
    <w:p w14:paraId="0A17F6BF" w14:textId="77777777" w:rsidR="00C62A5A" w:rsidRPr="00E43CFD" w:rsidRDefault="00C62A5A" w:rsidP="00E43CFD">
      <w:pPr>
        <w:jc w:val="center"/>
        <w:outlineLvl w:val="0"/>
        <w:rPr>
          <w:rStyle w:val="Strong"/>
          <w:color w:val="0033CC"/>
        </w:rPr>
      </w:pPr>
      <w:r w:rsidRPr="00E43CFD">
        <w:rPr>
          <w:rStyle w:val="Strong"/>
          <w:color w:val="0033CC"/>
        </w:rPr>
        <w:t xml:space="preserve">of the American Evaluation Association </w:t>
      </w:r>
    </w:p>
    <w:p w14:paraId="5461A3FA" w14:textId="77777777" w:rsidR="00C62A5A" w:rsidRPr="00E43CFD" w:rsidRDefault="00C62A5A" w:rsidP="00E43CFD">
      <w:pPr>
        <w:jc w:val="center"/>
        <w:rPr>
          <w:rStyle w:val="Strong"/>
          <w:color w:val="0033CC"/>
        </w:rPr>
      </w:pPr>
    </w:p>
    <w:p w14:paraId="40DC8D32" w14:textId="77777777" w:rsidR="00C62A5A" w:rsidRPr="00E43CFD" w:rsidRDefault="00C62A5A" w:rsidP="00E43CFD">
      <w:pPr>
        <w:jc w:val="center"/>
        <w:outlineLvl w:val="0"/>
        <w:rPr>
          <w:rStyle w:val="Strong"/>
          <w:color w:val="0033CC"/>
        </w:rPr>
      </w:pPr>
      <w:r w:rsidRPr="00E43CFD">
        <w:rPr>
          <w:rStyle w:val="Strong"/>
          <w:color w:val="0033CC"/>
        </w:rPr>
        <w:t>AEA Evaluation 201</w:t>
      </w:r>
      <w:r w:rsidR="00050DB9">
        <w:rPr>
          <w:rStyle w:val="Strong"/>
          <w:color w:val="0033CC"/>
        </w:rPr>
        <w:t>8</w:t>
      </w:r>
      <w:r w:rsidRPr="00E43CFD">
        <w:rPr>
          <w:rStyle w:val="Strong"/>
          <w:color w:val="0033CC"/>
        </w:rPr>
        <w:t xml:space="preserve">: </w:t>
      </w:r>
      <w:r w:rsidR="00050DB9">
        <w:rPr>
          <w:rStyle w:val="Strong"/>
          <w:color w:val="0033CC"/>
        </w:rPr>
        <w:t>Speaking Truth to Power</w:t>
      </w:r>
    </w:p>
    <w:p w14:paraId="68218A7B" w14:textId="77777777" w:rsidR="00C62A5A" w:rsidRPr="00E43CFD" w:rsidRDefault="00C62A5A" w:rsidP="00E43CFD">
      <w:pPr>
        <w:jc w:val="center"/>
      </w:pPr>
    </w:p>
    <w:p w14:paraId="69CA9049" w14:textId="005AAEA0" w:rsidR="00C62A5A" w:rsidRPr="00E43CFD" w:rsidRDefault="00C62A5A" w:rsidP="00E43CFD">
      <w:pPr>
        <w:jc w:val="center"/>
        <w:outlineLvl w:val="0"/>
        <w:rPr>
          <w:b/>
          <w:color w:val="0033CC"/>
          <w:u w:val="single"/>
        </w:rPr>
      </w:pPr>
      <w:r w:rsidRPr="00E43CFD">
        <w:rPr>
          <w:b/>
          <w:color w:val="0033CC"/>
        </w:rPr>
        <w:t>Call for presentations</w:t>
      </w:r>
      <w:r w:rsidR="004B0525" w:rsidRPr="00E43CFD">
        <w:rPr>
          <w:b/>
          <w:color w:val="0033CC"/>
        </w:rPr>
        <w:t>, posters and papers</w:t>
      </w:r>
      <w:r w:rsidRPr="00E43CFD">
        <w:rPr>
          <w:b/>
          <w:color w:val="0033CC"/>
        </w:rPr>
        <w:t xml:space="preserve"> –</w:t>
      </w:r>
      <w:r w:rsidRPr="00E43CFD">
        <w:rPr>
          <w:b/>
        </w:rPr>
        <w:t xml:space="preserve"> </w:t>
      </w:r>
      <w:r w:rsidRPr="00E43CFD">
        <w:rPr>
          <w:b/>
          <w:color w:val="0033CC"/>
          <w:u w:val="single"/>
        </w:rPr>
        <w:t xml:space="preserve">Deadline March </w:t>
      </w:r>
      <w:r w:rsidR="00B85466">
        <w:rPr>
          <w:b/>
          <w:color w:val="0033CC"/>
          <w:u w:val="single"/>
        </w:rPr>
        <w:t>15th</w:t>
      </w:r>
    </w:p>
    <w:p w14:paraId="1B0E272D" w14:textId="77777777" w:rsidR="00C62A5A" w:rsidRPr="00F63F5F" w:rsidRDefault="00C62A5A" w:rsidP="00E43CFD">
      <w:pPr>
        <w:jc w:val="center"/>
        <w:outlineLvl w:val="0"/>
        <w:rPr>
          <w:b/>
          <w:i/>
          <w:sz w:val="20"/>
          <w:szCs w:val="22"/>
        </w:rPr>
      </w:pPr>
      <w:r w:rsidRPr="00F63F5F">
        <w:rPr>
          <w:b/>
          <w:i/>
          <w:sz w:val="20"/>
          <w:szCs w:val="22"/>
        </w:rPr>
        <w:t>Please post and pass on to colleagues and students</w:t>
      </w:r>
    </w:p>
    <w:p w14:paraId="090196FC" w14:textId="77777777" w:rsidR="00C62A5A" w:rsidRPr="00F63F5F" w:rsidRDefault="00C62A5A" w:rsidP="00E43CFD">
      <w:pPr>
        <w:jc w:val="center"/>
        <w:rPr>
          <w:b/>
          <w:i/>
          <w:sz w:val="20"/>
          <w:szCs w:val="22"/>
        </w:rPr>
      </w:pPr>
    </w:p>
    <w:p w14:paraId="1D09E66A" w14:textId="77777777" w:rsidR="00C62A5A" w:rsidRPr="00F63F5F" w:rsidRDefault="00C62A5A" w:rsidP="00C62A5A">
      <w:pPr>
        <w:rPr>
          <w:color w:val="000000"/>
          <w:sz w:val="22"/>
        </w:rPr>
      </w:pPr>
      <w:r w:rsidRPr="00F63F5F">
        <w:rPr>
          <w:color w:val="000000"/>
          <w:sz w:val="22"/>
        </w:rPr>
        <w:t xml:space="preserve">The </w:t>
      </w:r>
      <w:r w:rsidRPr="00F63F5F">
        <w:rPr>
          <w:sz w:val="22"/>
        </w:rPr>
        <w:t>RT&amp;D TIG invites you t</w:t>
      </w:r>
      <w:r w:rsidRPr="00F63F5F">
        <w:rPr>
          <w:color w:val="000000"/>
          <w:sz w:val="22"/>
        </w:rPr>
        <w:t xml:space="preserve">o submit a proposal to the AEA </w:t>
      </w:r>
      <w:r w:rsidRPr="00F63F5F">
        <w:rPr>
          <w:b/>
          <w:i/>
          <w:color w:val="000000"/>
          <w:sz w:val="22"/>
        </w:rPr>
        <w:t>Annual Conference</w:t>
      </w:r>
      <w:r w:rsidRPr="00F63F5F">
        <w:rPr>
          <w:color w:val="000000"/>
          <w:sz w:val="22"/>
        </w:rPr>
        <w:t xml:space="preserve"> this year.  To submit or to get more information, go to the Conference website at</w:t>
      </w:r>
      <w:r>
        <w:rPr>
          <w:color w:val="000000"/>
          <w:sz w:val="22"/>
        </w:rPr>
        <w:t xml:space="preserve"> http:  </w:t>
      </w:r>
      <w:hyperlink r:id="rId5" w:history="1">
        <w:r w:rsidR="00050DB9" w:rsidRPr="00795854">
          <w:rPr>
            <w:rStyle w:val="Hyperlink"/>
            <w:sz w:val="22"/>
          </w:rPr>
          <w:t>http://www.eval.org/p/cm/ld/fid=627</w:t>
        </w:r>
      </w:hyperlink>
      <w:r w:rsidR="004B0525">
        <w:rPr>
          <w:color w:val="000000"/>
          <w:sz w:val="22"/>
        </w:rPr>
        <w:t>.</w:t>
      </w:r>
      <w:r>
        <w:rPr>
          <w:color w:val="000000"/>
          <w:sz w:val="22"/>
        </w:rPr>
        <w:t xml:space="preserve"> </w:t>
      </w:r>
      <w:r w:rsidRPr="00F63F5F">
        <w:rPr>
          <w:color w:val="000000"/>
          <w:sz w:val="22"/>
        </w:rPr>
        <w:t xml:space="preserve"> S</w:t>
      </w:r>
      <w:r w:rsidRPr="00F63F5F">
        <w:rPr>
          <w:sz w:val="22"/>
        </w:rPr>
        <w:t xml:space="preserve">elect the RT&amp;D TIG for review of your proposal as part of the submission process. </w:t>
      </w:r>
    </w:p>
    <w:p w14:paraId="1FD93213" w14:textId="77777777" w:rsidR="00C62A5A" w:rsidRPr="00F63F5F" w:rsidRDefault="00C62A5A" w:rsidP="00C62A5A">
      <w:pPr>
        <w:jc w:val="right"/>
        <w:rPr>
          <w:sz w:val="22"/>
        </w:rPr>
      </w:pPr>
    </w:p>
    <w:p w14:paraId="6A62B3E7" w14:textId="77777777" w:rsidR="00C62A5A" w:rsidRPr="00F63F5F" w:rsidRDefault="00C62A5A" w:rsidP="00C62A5A">
      <w:pPr>
        <w:pStyle w:val="NormalWeb"/>
        <w:spacing w:before="0" w:beforeAutospacing="0" w:after="0" w:afterAutospacing="0" w:line="252" w:lineRule="auto"/>
        <w:rPr>
          <w:sz w:val="22"/>
        </w:rPr>
      </w:pPr>
      <w:r w:rsidRPr="00F63F5F">
        <w:rPr>
          <w:sz w:val="22"/>
        </w:rPr>
        <w:t xml:space="preserve">This year the </w:t>
      </w:r>
      <w:r w:rsidR="009906DE">
        <w:rPr>
          <w:sz w:val="22"/>
        </w:rPr>
        <w:t>AEA</w:t>
      </w:r>
      <w:r w:rsidRPr="00F63F5F">
        <w:rPr>
          <w:sz w:val="22"/>
        </w:rPr>
        <w:t xml:space="preserve"> Conference will be held in </w:t>
      </w:r>
      <w:r w:rsidR="00050DB9">
        <w:rPr>
          <w:b/>
          <w:sz w:val="22"/>
        </w:rPr>
        <w:t>Cleveland, OH</w:t>
      </w:r>
      <w:r w:rsidRPr="00F63F5F">
        <w:rPr>
          <w:sz w:val="22"/>
        </w:rPr>
        <w:t>. The Conference will be held from</w:t>
      </w:r>
      <w:r w:rsidRPr="00F63F5F">
        <w:rPr>
          <w:b/>
          <w:i/>
          <w:sz w:val="22"/>
        </w:rPr>
        <w:t xml:space="preserve"> Wednesday, October </w:t>
      </w:r>
      <w:r w:rsidR="00050DB9">
        <w:rPr>
          <w:b/>
          <w:i/>
          <w:sz w:val="22"/>
        </w:rPr>
        <w:t>30</w:t>
      </w:r>
      <w:r w:rsidR="00050DB9" w:rsidRPr="00050DB9">
        <w:rPr>
          <w:b/>
          <w:i/>
          <w:sz w:val="22"/>
          <w:vertAlign w:val="superscript"/>
        </w:rPr>
        <w:t>th</w:t>
      </w:r>
      <w:r w:rsidR="00050DB9">
        <w:rPr>
          <w:b/>
          <w:i/>
          <w:sz w:val="22"/>
        </w:rPr>
        <w:t xml:space="preserve"> </w:t>
      </w:r>
      <w:r w:rsidRPr="00F63F5F">
        <w:rPr>
          <w:b/>
          <w:i/>
          <w:sz w:val="22"/>
        </w:rPr>
        <w:t>t</w:t>
      </w:r>
      <w:r w:rsidR="00136B1A">
        <w:rPr>
          <w:b/>
          <w:i/>
          <w:sz w:val="22"/>
        </w:rPr>
        <w:t>hrough</w:t>
      </w:r>
      <w:r w:rsidRPr="00F63F5F">
        <w:rPr>
          <w:b/>
          <w:i/>
          <w:sz w:val="22"/>
        </w:rPr>
        <w:t xml:space="preserve"> Saturday, </w:t>
      </w:r>
      <w:r w:rsidR="00050DB9">
        <w:rPr>
          <w:b/>
          <w:i/>
          <w:sz w:val="22"/>
        </w:rPr>
        <w:t>November 3</w:t>
      </w:r>
      <w:r w:rsidR="00050DB9" w:rsidRPr="00050DB9">
        <w:rPr>
          <w:b/>
          <w:i/>
          <w:sz w:val="22"/>
          <w:vertAlign w:val="superscript"/>
        </w:rPr>
        <w:t>rd</w:t>
      </w:r>
      <w:r w:rsidRPr="00F63F5F">
        <w:rPr>
          <w:b/>
          <w:i/>
          <w:sz w:val="22"/>
        </w:rPr>
        <w:t>, 201</w:t>
      </w:r>
      <w:r w:rsidR="00050DB9">
        <w:rPr>
          <w:b/>
          <w:i/>
          <w:sz w:val="22"/>
        </w:rPr>
        <w:t>8</w:t>
      </w:r>
      <w:r w:rsidRPr="00F63F5F">
        <w:rPr>
          <w:sz w:val="22"/>
        </w:rPr>
        <w:t xml:space="preserve">. </w:t>
      </w:r>
      <w:r w:rsidR="009906DE">
        <w:rPr>
          <w:sz w:val="22"/>
        </w:rPr>
        <w:t>P</w:t>
      </w:r>
      <w:r w:rsidRPr="00F63F5F">
        <w:rPr>
          <w:sz w:val="22"/>
        </w:rPr>
        <w:t xml:space="preserve">rofessional development workshops will precede and follow.  </w:t>
      </w:r>
    </w:p>
    <w:p w14:paraId="679C9D2D" w14:textId="77777777" w:rsidR="00EC1C3F" w:rsidRDefault="00EC1C3F" w:rsidP="00C62A5A">
      <w:pPr>
        <w:rPr>
          <w:sz w:val="22"/>
        </w:rPr>
      </w:pPr>
    </w:p>
    <w:p w14:paraId="7E46B5A3" w14:textId="77777777" w:rsidR="00C62A5A" w:rsidRPr="00F63F5F" w:rsidRDefault="00C62A5A" w:rsidP="00C62A5A">
      <w:pPr>
        <w:rPr>
          <w:sz w:val="22"/>
        </w:rPr>
      </w:pPr>
      <w:r w:rsidRPr="00F63F5F">
        <w:rPr>
          <w:sz w:val="22"/>
        </w:rPr>
        <w:t xml:space="preserve">We expect that </w:t>
      </w:r>
      <w:r w:rsidR="000F448C">
        <w:rPr>
          <w:sz w:val="22"/>
        </w:rPr>
        <w:t>the conference</w:t>
      </w:r>
      <w:r w:rsidRPr="00F63F5F">
        <w:rPr>
          <w:sz w:val="22"/>
        </w:rPr>
        <w:t xml:space="preserve"> will attract a wide range of participants from a number of countries and that we can all share experiences and learn from one another. Last year</w:t>
      </w:r>
      <w:r w:rsidR="00D90200">
        <w:rPr>
          <w:sz w:val="22"/>
        </w:rPr>
        <w:t>,</w:t>
      </w:r>
      <w:r w:rsidRPr="00F63F5F">
        <w:rPr>
          <w:sz w:val="22"/>
        </w:rPr>
        <w:t xml:space="preserve"> there were 20 sessions sponsored by the TIG, and we intend to provide opportunities for exchange throughout the conference and afterward.</w:t>
      </w:r>
      <w:r w:rsidR="009906DE">
        <w:rPr>
          <w:i/>
          <w:sz w:val="22"/>
          <w:szCs w:val="22"/>
        </w:rPr>
        <w:t xml:space="preserve"> </w:t>
      </w:r>
      <w:r>
        <w:rPr>
          <w:b/>
          <w:i/>
          <w:sz w:val="22"/>
        </w:rPr>
        <w:t>M</w:t>
      </w:r>
      <w:r w:rsidRPr="00F63F5F">
        <w:rPr>
          <w:b/>
          <w:i/>
          <w:sz w:val="22"/>
        </w:rPr>
        <w:t>ark the dates on your calendar</w:t>
      </w:r>
      <w:r>
        <w:rPr>
          <w:b/>
          <w:i/>
          <w:sz w:val="22"/>
        </w:rPr>
        <w:t>, and even i</w:t>
      </w:r>
      <w:r w:rsidRPr="00F63F5F">
        <w:rPr>
          <w:b/>
          <w:i/>
          <w:sz w:val="22"/>
        </w:rPr>
        <w:t>f you do not wish to submit a proposal, please plan to attend!</w:t>
      </w:r>
    </w:p>
    <w:p w14:paraId="79B33CCD" w14:textId="77777777" w:rsidR="00C62A5A" w:rsidRPr="00F63F5F" w:rsidRDefault="00C62A5A" w:rsidP="00C62A5A">
      <w:pPr>
        <w:rPr>
          <w:sz w:val="22"/>
        </w:rPr>
      </w:pPr>
    </w:p>
    <w:p w14:paraId="6C3077C9" w14:textId="31E9EB65" w:rsidR="00CA5296" w:rsidRPr="00CA5296" w:rsidRDefault="0040056E" w:rsidP="00C62A5A">
      <w:pPr>
        <w:rPr>
          <w:sz w:val="22"/>
        </w:rPr>
      </w:pPr>
      <w:r>
        <w:rPr>
          <w:sz w:val="22"/>
        </w:rPr>
        <w:t>T</w:t>
      </w:r>
      <w:r w:rsidR="00CA5296" w:rsidRPr="00CA5296">
        <w:rPr>
          <w:sz w:val="22"/>
        </w:rPr>
        <w:t>h</w:t>
      </w:r>
      <w:r w:rsidR="00CA5296">
        <w:rPr>
          <w:sz w:val="22"/>
        </w:rPr>
        <w:t>is year’s conference theme</w:t>
      </w:r>
      <w:r w:rsidR="00902EED">
        <w:rPr>
          <w:sz w:val="22"/>
        </w:rPr>
        <w:t xml:space="preserve">, </w:t>
      </w:r>
      <w:r w:rsidR="00902EED" w:rsidRPr="00B85466">
        <w:rPr>
          <w:i/>
          <w:sz w:val="22"/>
        </w:rPr>
        <w:t>Speaking Truth to Power</w:t>
      </w:r>
      <w:r w:rsidR="00902EED">
        <w:rPr>
          <w:sz w:val="22"/>
        </w:rPr>
        <w:t>,</w:t>
      </w:r>
      <w:r w:rsidR="00CA5296">
        <w:rPr>
          <w:sz w:val="22"/>
        </w:rPr>
        <w:t xml:space="preserve"> </w:t>
      </w:r>
      <w:r w:rsidR="00D7068B">
        <w:rPr>
          <w:sz w:val="22"/>
        </w:rPr>
        <w:t xml:space="preserve">considers the role and </w:t>
      </w:r>
      <w:r w:rsidR="00D7068B" w:rsidRPr="00D7068B">
        <w:rPr>
          <w:sz w:val="22"/>
        </w:rPr>
        <w:t xml:space="preserve">responsibilities evaluators </w:t>
      </w:r>
      <w:r w:rsidR="00D7068B">
        <w:rPr>
          <w:sz w:val="22"/>
        </w:rPr>
        <w:t>have, as well as the nature of evaluation’s influence, differing perceptions of the role of evidence, and various mechanisms by which evaluation results are presented and disseminated</w:t>
      </w:r>
      <w:r w:rsidR="00FD2B56">
        <w:rPr>
          <w:sz w:val="22"/>
        </w:rPr>
        <w:t xml:space="preserve">. </w:t>
      </w:r>
      <w:r w:rsidR="00FC7341">
        <w:rPr>
          <w:sz w:val="22"/>
        </w:rPr>
        <w:t>Although all topics will be considered, t</w:t>
      </w:r>
      <w:r w:rsidR="0081372A">
        <w:rPr>
          <w:sz w:val="22"/>
        </w:rPr>
        <w:t xml:space="preserve">he RT&amp;D TIG welcomes proposals that address these </w:t>
      </w:r>
      <w:r w:rsidR="00C54EEF">
        <w:rPr>
          <w:sz w:val="22"/>
        </w:rPr>
        <w:t>critical issues:</w:t>
      </w:r>
    </w:p>
    <w:p w14:paraId="1A7048D7" w14:textId="77777777" w:rsidR="00CA5296" w:rsidRPr="00CA5296" w:rsidRDefault="00CA5296" w:rsidP="00C62A5A">
      <w:pPr>
        <w:rPr>
          <w:sz w:val="22"/>
        </w:rPr>
      </w:pPr>
    </w:p>
    <w:p w14:paraId="60A72C75" w14:textId="77777777" w:rsidR="00C62A5A" w:rsidRPr="00C54EEF" w:rsidRDefault="00050DB9" w:rsidP="00C54EEF">
      <w:pPr>
        <w:numPr>
          <w:ilvl w:val="0"/>
          <w:numId w:val="7"/>
        </w:numPr>
        <w:rPr>
          <w:sz w:val="22"/>
        </w:rPr>
      </w:pPr>
      <w:r>
        <w:rPr>
          <w:b/>
          <w:color w:val="0033CC"/>
          <w:sz w:val="22"/>
        </w:rPr>
        <w:t>Speaking Truth to Co-workers: The Role of Internal Evaluation Capacity</w:t>
      </w:r>
      <w:r w:rsidR="00C55F15" w:rsidRPr="004B0525">
        <w:rPr>
          <w:b/>
          <w:color w:val="0033CC"/>
          <w:sz w:val="22"/>
        </w:rPr>
        <w:t>.</w:t>
      </w:r>
      <w:r w:rsidR="00C54EEF">
        <w:rPr>
          <w:b/>
          <w:sz w:val="22"/>
        </w:rPr>
        <w:t xml:space="preserve">   </w:t>
      </w:r>
      <w:r>
        <w:rPr>
          <w:sz w:val="22"/>
        </w:rPr>
        <w:t>What challenges are posed by (and advantages accruing to) building internal evaluation units as compared with relying on external evaluators? What role is being played by internal evaluation units in developing and implementing evaluation policies or learning agendas?</w:t>
      </w:r>
    </w:p>
    <w:p w14:paraId="086161DE" w14:textId="77777777" w:rsidR="00C55F15" w:rsidRPr="00C54EEF" w:rsidRDefault="00C55F15" w:rsidP="00C55F15">
      <w:pPr>
        <w:ind w:left="720"/>
        <w:rPr>
          <w:sz w:val="22"/>
        </w:rPr>
      </w:pPr>
    </w:p>
    <w:p w14:paraId="1AF44191" w14:textId="77777777" w:rsidR="00C62A5A" w:rsidRPr="00CA5296" w:rsidRDefault="00050DB9" w:rsidP="00C55F15">
      <w:pPr>
        <w:numPr>
          <w:ilvl w:val="0"/>
          <w:numId w:val="7"/>
        </w:numPr>
        <w:rPr>
          <w:b/>
          <w:sz w:val="22"/>
        </w:rPr>
      </w:pPr>
      <w:r>
        <w:rPr>
          <w:b/>
          <w:color w:val="0033CC"/>
          <w:sz w:val="22"/>
        </w:rPr>
        <w:t xml:space="preserve">Negotiating Questions of Evidence and Truth: Evaluation in Contested RTD Spaces. </w:t>
      </w:r>
      <w:r>
        <w:rPr>
          <w:sz w:val="22"/>
        </w:rPr>
        <w:t>RTD evaluations occur in domains where the nature of scientific evidence itself may be questioned or contested</w:t>
      </w:r>
      <w:r w:rsidR="00671EC5">
        <w:rPr>
          <w:sz w:val="22"/>
        </w:rPr>
        <w:t>.</w:t>
      </w:r>
      <w:r w:rsidR="00AD63F9">
        <w:rPr>
          <w:sz w:val="22"/>
        </w:rPr>
        <w:t xml:space="preserve"> What strategies are evaluators using in these domains?</w:t>
      </w:r>
    </w:p>
    <w:p w14:paraId="278408D5" w14:textId="77777777" w:rsidR="00C62A5A" w:rsidRPr="00CA5296" w:rsidRDefault="00C62A5A" w:rsidP="00AA2DBD">
      <w:pPr>
        <w:rPr>
          <w:b/>
          <w:sz w:val="22"/>
        </w:rPr>
      </w:pPr>
    </w:p>
    <w:p w14:paraId="0F538CDA" w14:textId="77777777" w:rsidR="00671EC5" w:rsidRPr="00671EC5" w:rsidRDefault="00AD63F9" w:rsidP="00671EC5">
      <w:pPr>
        <w:numPr>
          <w:ilvl w:val="0"/>
          <w:numId w:val="7"/>
        </w:numPr>
        <w:rPr>
          <w:sz w:val="22"/>
        </w:rPr>
      </w:pPr>
      <w:r>
        <w:rPr>
          <w:b/>
          <w:color w:val="0033CC"/>
          <w:sz w:val="22"/>
        </w:rPr>
        <w:t>Tapping New Sources of Evidence: Making More Efficient and Sophisticated Use of Administrative Data</w:t>
      </w:r>
      <w:r w:rsidR="00C55F15" w:rsidRPr="004B0525">
        <w:rPr>
          <w:b/>
          <w:color w:val="0033CC"/>
          <w:sz w:val="22"/>
        </w:rPr>
        <w:t>.</w:t>
      </w:r>
      <w:r w:rsidR="00C55F15" w:rsidRPr="00C55F15">
        <w:rPr>
          <w:b/>
          <w:sz w:val="22"/>
        </w:rPr>
        <w:t xml:space="preserve"> </w:t>
      </w:r>
      <w:r>
        <w:rPr>
          <w:sz w:val="22"/>
        </w:rPr>
        <w:t>How are RTD evaluators using internal administrative data to assess program effectiveness? What challenges are being encountered and how are they being overcome? What new tools and approaches are being developed?</w:t>
      </w:r>
      <w:r w:rsidR="00E92DA1">
        <w:rPr>
          <w:sz w:val="22"/>
        </w:rPr>
        <w:t xml:space="preserve"> </w:t>
      </w:r>
    </w:p>
    <w:p w14:paraId="134F46E3" w14:textId="77777777" w:rsidR="00C55F15" w:rsidRDefault="00C55F15" w:rsidP="00C55F15">
      <w:pPr>
        <w:pStyle w:val="ListParagraph"/>
        <w:rPr>
          <w:sz w:val="22"/>
        </w:rPr>
      </w:pPr>
    </w:p>
    <w:p w14:paraId="635F3513" w14:textId="75F84F2A" w:rsidR="009906DE" w:rsidRDefault="00C62A5A" w:rsidP="00C62A5A">
      <w:r w:rsidRPr="00F63F5F">
        <w:rPr>
          <w:sz w:val="22"/>
        </w:rPr>
        <w:t>Proposals are accepted for a variety of formats</w:t>
      </w:r>
      <w:r w:rsidR="009906DE">
        <w:rPr>
          <w:sz w:val="22"/>
        </w:rPr>
        <w:t>.</w:t>
      </w:r>
      <w:r w:rsidR="00876B3C" w:rsidRPr="009906DE">
        <w:rPr>
          <w:i/>
          <w:sz w:val="22"/>
          <w:szCs w:val="22"/>
        </w:rPr>
        <w:t xml:space="preserve"> </w:t>
      </w:r>
      <w:r w:rsidRPr="009906DE">
        <w:rPr>
          <w:i/>
          <w:sz w:val="22"/>
          <w:szCs w:val="22"/>
        </w:rPr>
        <w:t xml:space="preserve"> </w:t>
      </w:r>
      <w:r w:rsidRPr="00271028">
        <w:rPr>
          <w:i/>
          <w:sz w:val="22"/>
          <w:szCs w:val="22"/>
        </w:rPr>
        <w:t>Poster proposals from students and new R T&amp;D evaluation professionals are especially welcome.</w:t>
      </w:r>
      <w:r w:rsidR="00E139D7" w:rsidRPr="00E139D7">
        <w:t xml:space="preserve"> </w:t>
      </w:r>
      <w:r w:rsidR="00E139D7">
        <w:t xml:space="preserve"> </w:t>
      </w:r>
    </w:p>
    <w:p w14:paraId="56840619" w14:textId="77777777" w:rsidR="009906DE" w:rsidRDefault="009906DE" w:rsidP="00C62A5A"/>
    <w:p w14:paraId="21EAD203" w14:textId="77777777" w:rsidR="00B03127" w:rsidRDefault="009906DE" w:rsidP="00C62A5A">
      <w:r>
        <w:t xml:space="preserve">Note: </w:t>
      </w:r>
      <w:r w:rsidR="00E43CFD">
        <w:t>Y</w:t>
      </w:r>
      <w:r w:rsidR="00E139D7">
        <w:t>ou will need a login account to enter</w:t>
      </w:r>
      <w:r w:rsidR="00E43CFD">
        <w:t xml:space="preserve"> a proposal. If you </w:t>
      </w:r>
      <w:r w:rsidR="00E139D7">
        <w:t xml:space="preserve">do not want to join AEA right now, you can very easily </w:t>
      </w:r>
      <w:hyperlink r:id="rId6" w:tgtFrame="_blank" w:history="1">
        <w:r w:rsidR="00E139D7">
          <w:rPr>
            <w:rStyle w:val="Hyperlink"/>
          </w:rPr>
          <w:t>create a non-member account</w:t>
        </w:r>
      </w:hyperlink>
      <w:r w:rsidR="00E139D7">
        <w:t xml:space="preserve"> entering just your name and email address</w:t>
      </w:r>
    </w:p>
    <w:p w14:paraId="48878A44" w14:textId="77777777" w:rsidR="00C62A5A" w:rsidRPr="00E139D7" w:rsidRDefault="00C62A5A" w:rsidP="00C62A5A">
      <w:pPr>
        <w:rPr>
          <w:sz w:val="22"/>
          <w:szCs w:val="22"/>
        </w:rPr>
      </w:pPr>
    </w:p>
    <w:p w14:paraId="12D02FFE" w14:textId="77777777" w:rsidR="00C62A5A" w:rsidRPr="00E139D7" w:rsidRDefault="00C62A5A" w:rsidP="00AA2DBD">
      <w:pPr>
        <w:pStyle w:val="NormalWeb"/>
        <w:spacing w:before="0" w:beforeAutospacing="0" w:after="0" w:afterAutospacing="0" w:line="252" w:lineRule="auto"/>
        <w:jc w:val="center"/>
        <w:rPr>
          <w:b/>
          <w:sz w:val="20"/>
        </w:rPr>
      </w:pPr>
      <w:r w:rsidRPr="00E139D7">
        <w:rPr>
          <w:b/>
          <w:sz w:val="20"/>
        </w:rPr>
        <w:t>For questions or to discuss possible topics before submitting, contact the TIG program co-chairs:</w:t>
      </w:r>
    </w:p>
    <w:p w14:paraId="57CDDC38" w14:textId="343F9469" w:rsidR="00AD63F9" w:rsidRDefault="00AD63F9" w:rsidP="004373C1">
      <w:pPr>
        <w:pStyle w:val="NormalWeb"/>
        <w:spacing w:before="0" w:beforeAutospacing="0" w:after="0" w:afterAutospacing="0" w:line="252" w:lineRule="auto"/>
        <w:jc w:val="center"/>
        <w:rPr>
          <w:b/>
          <w:sz w:val="20"/>
          <w:lang w:val="de-DE"/>
        </w:rPr>
      </w:pPr>
      <w:r>
        <w:rPr>
          <w:b/>
          <w:sz w:val="20"/>
        </w:rPr>
        <w:t>Betsy Hsu</w:t>
      </w:r>
      <w:r w:rsidR="00D7068B">
        <w:rPr>
          <w:b/>
          <w:sz w:val="20"/>
        </w:rPr>
        <w:t xml:space="preserve"> </w:t>
      </w:r>
      <w:hyperlink r:id="rId7" w:history="1">
        <w:r w:rsidR="004373C1" w:rsidRPr="00555C71">
          <w:rPr>
            <w:rStyle w:val="Hyperlink"/>
            <w:b/>
            <w:sz w:val="20"/>
          </w:rPr>
          <w:t>hsuel@mail.nih.gov</w:t>
        </w:r>
      </w:hyperlink>
      <w:r w:rsidR="004373C1">
        <w:rPr>
          <w:b/>
          <w:sz w:val="20"/>
        </w:rPr>
        <w:t xml:space="preserve">; </w:t>
      </w:r>
      <w:proofErr w:type="spellStart"/>
      <w:r w:rsidR="00C62A5A" w:rsidRPr="00E139D7">
        <w:rPr>
          <w:b/>
          <w:sz w:val="20"/>
          <w:lang w:val="de-DE"/>
        </w:rPr>
        <w:t>and</w:t>
      </w:r>
      <w:proofErr w:type="spellEnd"/>
      <w:r w:rsidR="00C62A5A" w:rsidRPr="00E139D7">
        <w:rPr>
          <w:b/>
          <w:sz w:val="20"/>
          <w:lang w:val="de-DE"/>
        </w:rPr>
        <w:t xml:space="preserve"> </w:t>
      </w:r>
      <w:r>
        <w:rPr>
          <w:b/>
          <w:sz w:val="20"/>
          <w:lang w:val="de-DE"/>
        </w:rPr>
        <w:t xml:space="preserve">Gavin </w:t>
      </w:r>
      <w:proofErr w:type="spellStart"/>
      <w:r>
        <w:rPr>
          <w:b/>
          <w:sz w:val="20"/>
          <w:lang w:val="de-DE"/>
        </w:rPr>
        <w:t>Reddick</w:t>
      </w:r>
      <w:proofErr w:type="spellEnd"/>
      <w:r w:rsidR="00D7068B">
        <w:rPr>
          <w:b/>
          <w:sz w:val="20"/>
          <w:lang w:val="de-DE"/>
        </w:rPr>
        <w:t xml:space="preserve"> </w:t>
      </w:r>
      <w:hyperlink r:id="rId8" w:history="1">
        <w:r w:rsidR="004373C1" w:rsidRPr="00555C71">
          <w:rPr>
            <w:rStyle w:val="Hyperlink"/>
            <w:b/>
            <w:sz w:val="20"/>
            <w:lang w:val="de-DE"/>
          </w:rPr>
          <w:t>gavin.reddick@gmail.com</w:t>
        </w:r>
      </w:hyperlink>
    </w:p>
    <w:p w14:paraId="0F862BFC" w14:textId="1571A3C1" w:rsidR="00C62A5A" w:rsidRPr="00E139D7" w:rsidRDefault="00C62A5A" w:rsidP="004373C1">
      <w:pPr>
        <w:pStyle w:val="NormalWeb"/>
        <w:spacing w:before="0" w:beforeAutospacing="0" w:after="0" w:afterAutospacing="0" w:line="252" w:lineRule="auto"/>
        <w:jc w:val="center"/>
        <w:rPr>
          <w:b/>
          <w:bCs/>
          <w:iCs/>
          <w:sz w:val="20"/>
        </w:rPr>
      </w:pPr>
      <w:r w:rsidRPr="00E139D7">
        <w:rPr>
          <w:b/>
          <w:bCs/>
          <w:iCs/>
          <w:sz w:val="20"/>
        </w:rPr>
        <w:t xml:space="preserve">Co-chairs: </w:t>
      </w:r>
      <w:r w:rsidR="00AD63F9">
        <w:rPr>
          <w:b/>
          <w:bCs/>
          <w:iCs/>
          <w:sz w:val="20"/>
        </w:rPr>
        <w:t xml:space="preserve">Robin Wagner </w:t>
      </w:r>
      <w:hyperlink r:id="rId9" w:history="1">
        <w:r w:rsidR="00AD63F9" w:rsidRPr="00795854">
          <w:rPr>
            <w:rStyle w:val="Hyperlink"/>
            <w:b/>
            <w:bCs/>
            <w:iCs/>
            <w:sz w:val="20"/>
          </w:rPr>
          <w:t>riw8@cdc.gov</w:t>
        </w:r>
      </w:hyperlink>
      <w:r w:rsidR="00AD63F9">
        <w:rPr>
          <w:b/>
          <w:bCs/>
          <w:iCs/>
          <w:sz w:val="20"/>
        </w:rPr>
        <w:t xml:space="preserve">; </w:t>
      </w:r>
      <w:r w:rsidR="003314C4" w:rsidRPr="00E139D7">
        <w:rPr>
          <w:b/>
          <w:bCs/>
          <w:iCs/>
          <w:sz w:val="20"/>
        </w:rPr>
        <w:t xml:space="preserve">and </w:t>
      </w:r>
      <w:r w:rsidR="00AD63F9">
        <w:rPr>
          <w:b/>
          <w:bCs/>
          <w:iCs/>
          <w:sz w:val="20"/>
        </w:rPr>
        <w:t>Joshua Schnell</w:t>
      </w:r>
      <w:r w:rsidR="003314C4" w:rsidRPr="00E139D7">
        <w:rPr>
          <w:b/>
          <w:bCs/>
          <w:iCs/>
          <w:sz w:val="20"/>
        </w:rPr>
        <w:t>,</w:t>
      </w:r>
      <w:r w:rsidRPr="00E139D7">
        <w:rPr>
          <w:b/>
          <w:bCs/>
          <w:iCs/>
          <w:sz w:val="20"/>
        </w:rPr>
        <w:t xml:space="preserve"> </w:t>
      </w:r>
      <w:hyperlink r:id="rId10" w:history="1">
        <w:r w:rsidR="00AD63F9" w:rsidRPr="00795854">
          <w:rPr>
            <w:rStyle w:val="Hyperlink"/>
            <w:b/>
            <w:bCs/>
            <w:iCs/>
            <w:sz w:val="20"/>
          </w:rPr>
          <w:t>joshua.schnell@Clarivate.com</w:t>
        </w:r>
      </w:hyperlink>
    </w:p>
    <w:p w14:paraId="29521BA5" w14:textId="77777777" w:rsidR="0077224A" w:rsidRPr="00E139D7" w:rsidRDefault="00AA2DBD" w:rsidP="00E139D7">
      <w:pPr>
        <w:pStyle w:val="NormalWeb"/>
        <w:spacing w:before="0" w:beforeAutospacing="0" w:after="0" w:afterAutospacing="0" w:line="252" w:lineRule="auto"/>
        <w:jc w:val="center"/>
        <w:rPr>
          <w:b/>
          <w:bCs/>
          <w:iCs/>
          <w:sz w:val="20"/>
        </w:rPr>
      </w:pPr>
      <w:r w:rsidRPr="00E139D7">
        <w:rPr>
          <w:b/>
          <w:bCs/>
          <w:iCs/>
          <w:sz w:val="20"/>
        </w:rPr>
        <w:t xml:space="preserve">TIG Webmaster: </w:t>
      </w:r>
      <w:r w:rsidRPr="00E139D7">
        <w:rPr>
          <w:b/>
          <w:sz w:val="20"/>
          <w:szCs w:val="20"/>
        </w:rPr>
        <w:t xml:space="preserve">Danielle Daee, </w:t>
      </w:r>
      <w:hyperlink r:id="rId11" w:history="1">
        <w:r w:rsidR="00624389" w:rsidRPr="00795854">
          <w:rPr>
            <w:rStyle w:val="Hyperlink"/>
            <w:b/>
            <w:sz w:val="20"/>
          </w:rPr>
          <w:t>danielle.</w:t>
        </w:r>
        <w:bookmarkStart w:id="0" w:name="_GoBack"/>
        <w:bookmarkEnd w:id="0"/>
        <w:r w:rsidR="00624389" w:rsidRPr="00795854">
          <w:rPr>
            <w:rStyle w:val="Hyperlink"/>
            <w:b/>
            <w:sz w:val="20"/>
          </w:rPr>
          <w:t>daee@nih.gov</w:t>
        </w:r>
      </w:hyperlink>
      <w:r w:rsidR="00624389">
        <w:rPr>
          <w:b/>
          <w:sz w:val="20"/>
        </w:rPr>
        <w:t xml:space="preserve"> </w:t>
      </w:r>
    </w:p>
    <w:sectPr w:rsidR="0077224A" w:rsidRPr="00E139D7" w:rsidSect="000F7C4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106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446CC6"/>
    <w:multiLevelType w:val="hybridMultilevel"/>
    <w:tmpl w:val="BBF07920"/>
    <w:lvl w:ilvl="0" w:tplc="669E3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B15C6"/>
    <w:multiLevelType w:val="hybridMultilevel"/>
    <w:tmpl w:val="8B68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D5063"/>
    <w:multiLevelType w:val="hybridMultilevel"/>
    <w:tmpl w:val="12B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D509C"/>
    <w:multiLevelType w:val="hybridMultilevel"/>
    <w:tmpl w:val="15C2209A"/>
    <w:lvl w:ilvl="0" w:tplc="0BA63516">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3F71AD"/>
    <w:multiLevelType w:val="multilevel"/>
    <w:tmpl w:val="7C64A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507D18"/>
    <w:multiLevelType w:val="hybridMultilevel"/>
    <w:tmpl w:val="BFA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53"/>
    <w:rsid w:val="00050DB9"/>
    <w:rsid w:val="00057FC8"/>
    <w:rsid w:val="00064E22"/>
    <w:rsid w:val="000973EC"/>
    <w:rsid w:val="000A7643"/>
    <w:rsid w:val="000E4B1F"/>
    <w:rsid w:val="000F448C"/>
    <w:rsid w:val="000F7C4B"/>
    <w:rsid w:val="00105ABE"/>
    <w:rsid w:val="00124369"/>
    <w:rsid w:val="00136B1A"/>
    <w:rsid w:val="001431EE"/>
    <w:rsid w:val="00186DF4"/>
    <w:rsid w:val="001A474D"/>
    <w:rsid w:val="00212619"/>
    <w:rsid w:val="00214E92"/>
    <w:rsid w:val="00243B1D"/>
    <w:rsid w:val="002703B2"/>
    <w:rsid w:val="00271028"/>
    <w:rsid w:val="00272102"/>
    <w:rsid w:val="002926F9"/>
    <w:rsid w:val="002C2E31"/>
    <w:rsid w:val="002C773C"/>
    <w:rsid w:val="002F6EDF"/>
    <w:rsid w:val="003314C4"/>
    <w:rsid w:val="00335434"/>
    <w:rsid w:val="00342FCF"/>
    <w:rsid w:val="003665F0"/>
    <w:rsid w:val="00386EFA"/>
    <w:rsid w:val="003919B4"/>
    <w:rsid w:val="003B190F"/>
    <w:rsid w:val="003C4B1C"/>
    <w:rsid w:val="0040056E"/>
    <w:rsid w:val="004165AD"/>
    <w:rsid w:val="00423287"/>
    <w:rsid w:val="004373C1"/>
    <w:rsid w:val="004727D6"/>
    <w:rsid w:val="004A25BD"/>
    <w:rsid w:val="004B0525"/>
    <w:rsid w:val="00510AD6"/>
    <w:rsid w:val="005134EC"/>
    <w:rsid w:val="00523BD8"/>
    <w:rsid w:val="00540785"/>
    <w:rsid w:val="005752FD"/>
    <w:rsid w:val="00581FE5"/>
    <w:rsid w:val="005B43BC"/>
    <w:rsid w:val="005B77EE"/>
    <w:rsid w:val="005D2847"/>
    <w:rsid w:val="005D4CB0"/>
    <w:rsid w:val="005F6343"/>
    <w:rsid w:val="00624389"/>
    <w:rsid w:val="00671EC5"/>
    <w:rsid w:val="006A7568"/>
    <w:rsid w:val="0070304F"/>
    <w:rsid w:val="00763C89"/>
    <w:rsid w:val="0077224A"/>
    <w:rsid w:val="007849CA"/>
    <w:rsid w:val="007D0309"/>
    <w:rsid w:val="007D19DD"/>
    <w:rsid w:val="007E6470"/>
    <w:rsid w:val="0081372A"/>
    <w:rsid w:val="00825CB6"/>
    <w:rsid w:val="00840707"/>
    <w:rsid w:val="00855210"/>
    <w:rsid w:val="00876B3C"/>
    <w:rsid w:val="00893107"/>
    <w:rsid w:val="008B372C"/>
    <w:rsid w:val="009017BB"/>
    <w:rsid w:val="00902EED"/>
    <w:rsid w:val="009906DE"/>
    <w:rsid w:val="009A6B53"/>
    <w:rsid w:val="009D3BDC"/>
    <w:rsid w:val="00A743BA"/>
    <w:rsid w:val="00AA1F65"/>
    <w:rsid w:val="00AA2DBD"/>
    <w:rsid w:val="00AC5B42"/>
    <w:rsid w:val="00AD63F9"/>
    <w:rsid w:val="00AE3956"/>
    <w:rsid w:val="00AE57B8"/>
    <w:rsid w:val="00B03127"/>
    <w:rsid w:val="00B4507B"/>
    <w:rsid w:val="00B553C6"/>
    <w:rsid w:val="00B56DF1"/>
    <w:rsid w:val="00B85466"/>
    <w:rsid w:val="00BA12E0"/>
    <w:rsid w:val="00BB1B74"/>
    <w:rsid w:val="00C3292C"/>
    <w:rsid w:val="00C5207C"/>
    <w:rsid w:val="00C54EEF"/>
    <w:rsid w:val="00C55F15"/>
    <w:rsid w:val="00C62A5A"/>
    <w:rsid w:val="00C703CC"/>
    <w:rsid w:val="00C971FD"/>
    <w:rsid w:val="00CA5296"/>
    <w:rsid w:val="00CB34EA"/>
    <w:rsid w:val="00CF2213"/>
    <w:rsid w:val="00D438C5"/>
    <w:rsid w:val="00D447E7"/>
    <w:rsid w:val="00D45C6D"/>
    <w:rsid w:val="00D54AD2"/>
    <w:rsid w:val="00D7068B"/>
    <w:rsid w:val="00D90200"/>
    <w:rsid w:val="00DE67FE"/>
    <w:rsid w:val="00E139D7"/>
    <w:rsid w:val="00E43CFD"/>
    <w:rsid w:val="00E63160"/>
    <w:rsid w:val="00E64717"/>
    <w:rsid w:val="00E8429F"/>
    <w:rsid w:val="00E92BF9"/>
    <w:rsid w:val="00E92DA1"/>
    <w:rsid w:val="00EA03D2"/>
    <w:rsid w:val="00EA0FE2"/>
    <w:rsid w:val="00EB49D3"/>
    <w:rsid w:val="00EC1C3F"/>
    <w:rsid w:val="00F06508"/>
    <w:rsid w:val="00F3043F"/>
    <w:rsid w:val="00F34E72"/>
    <w:rsid w:val="00F4247D"/>
    <w:rsid w:val="00F63F5F"/>
    <w:rsid w:val="00F935CB"/>
    <w:rsid w:val="00F93794"/>
    <w:rsid w:val="00FA1F00"/>
    <w:rsid w:val="00FA219E"/>
    <w:rsid w:val="00FC7341"/>
    <w:rsid w:val="00FD2B56"/>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54B63"/>
  <w15:chartTrackingRefBased/>
  <w15:docId w15:val="{DD65C68A-4A9B-4F19-A125-56450D1E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paragraph" w:styleId="Heading2">
    <w:name w:val="heading 2"/>
    <w:basedOn w:val="Normal"/>
    <w:next w:val="Normal"/>
    <w:link w:val="Heading2Char"/>
    <w:unhideWhenUsed/>
    <w:qFormat/>
    <w:rsid w:val="00C62A5A"/>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6B53"/>
    <w:pPr>
      <w:spacing w:before="100" w:beforeAutospacing="1" w:after="100" w:afterAutospacing="1"/>
    </w:pPr>
  </w:style>
  <w:style w:type="character" w:styleId="Strong">
    <w:name w:val="Strong"/>
    <w:qFormat/>
    <w:rsid w:val="009A6B53"/>
    <w:rPr>
      <w:b/>
      <w:bCs/>
    </w:rPr>
  </w:style>
  <w:style w:type="character" w:styleId="Hyperlink">
    <w:name w:val="Hyperlink"/>
    <w:uiPriority w:val="99"/>
    <w:rsid w:val="003B190F"/>
    <w:rPr>
      <w:color w:val="0000FF"/>
      <w:u w:val="single"/>
    </w:rPr>
  </w:style>
  <w:style w:type="character" w:styleId="FollowedHyperlink">
    <w:name w:val="FollowedHyperlink"/>
    <w:rsid w:val="00BA12E0"/>
    <w:rPr>
      <w:color w:val="800080"/>
      <w:u w:val="single"/>
    </w:rPr>
  </w:style>
  <w:style w:type="paragraph" w:styleId="DocumentMap">
    <w:name w:val="Document Map"/>
    <w:basedOn w:val="Normal"/>
    <w:semiHidden/>
    <w:rsid w:val="00581FE5"/>
    <w:pPr>
      <w:shd w:val="clear" w:color="auto" w:fill="000080"/>
    </w:pPr>
    <w:rPr>
      <w:rFonts w:ascii="Tahoma" w:hAnsi="Tahoma" w:cs="Tahoma"/>
      <w:sz w:val="20"/>
      <w:szCs w:val="20"/>
    </w:rPr>
  </w:style>
  <w:style w:type="paragraph" w:styleId="BalloonText">
    <w:name w:val="Balloon Text"/>
    <w:basedOn w:val="Normal"/>
    <w:link w:val="BalloonTextChar"/>
    <w:rsid w:val="00EB49D3"/>
    <w:rPr>
      <w:rFonts w:ascii="Tahoma" w:hAnsi="Tahoma"/>
      <w:sz w:val="16"/>
      <w:szCs w:val="16"/>
      <w:lang w:val="x-none"/>
    </w:rPr>
  </w:style>
  <w:style w:type="character" w:customStyle="1" w:styleId="BalloonTextChar">
    <w:name w:val="Balloon Text Char"/>
    <w:link w:val="BalloonText"/>
    <w:rsid w:val="00EB49D3"/>
    <w:rPr>
      <w:rFonts w:ascii="Tahoma" w:hAnsi="Tahoma" w:cs="Tahoma"/>
      <w:sz w:val="16"/>
      <w:szCs w:val="16"/>
      <w:lang w:eastAsia="ja-JP"/>
    </w:rPr>
  </w:style>
  <w:style w:type="paragraph" w:customStyle="1" w:styleId="ColorfulList-Accent11">
    <w:name w:val="Colorful List - Accent 11"/>
    <w:basedOn w:val="Normal"/>
    <w:uiPriority w:val="34"/>
    <w:qFormat/>
    <w:rsid w:val="002C2E31"/>
    <w:pPr>
      <w:ind w:left="720"/>
    </w:pPr>
  </w:style>
  <w:style w:type="character" w:customStyle="1" w:styleId="Heading2Char">
    <w:name w:val="Heading 2 Char"/>
    <w:link w:val="Heading2"/>
    <w:rsid w:val="00C62A5A"/>
    <w:rPr>
      <w:rFonts w:ascii="Cambria" w:eastAsia="Times New Roman" w:hAnsi="Cambria" w:cs="Times New Roman"/>
      <w:b/>
      <w:bCs/>
      <w:i/>
      <w:iCs/>
      <w:sz w:val="28"/>
      <w:szCs w:val="28"/>
      <w:lang w:eastAsia="ja-JP"/>
    </w:rPr>
  </w:style>
  <w:style w:type="paragraph" w:styleId="PlainText">
    <w:name w:val="Plain Text"/>
    <w:basedOn w:val="Normal"/>
    <w:link w:val="PlainTextChar"/>
    <w:uiPriority w:val="99"/>
    <w:unhideWhenUsed/>
    <w:rsid w:val="00F935CB"/>
    <w:rPr>
      <w:rFonts w:ascii="Consolas" w:eastAsia="Calibri" w:hAnsi="Consolas"/>
      <w:sz w:val="21"/>
      <w:szCs w:val="21"/>
      <w:lang w:val="x-none" w:eastAsia="x-none"/>
    </w:rPr>
  </w:style>
  <w:style w:type="character" w:customStyle="1" w:styleId="PlainTextChar">
    <w:name w:val="Plain Text Char"/>
    <w:link w:val="PlainText"/>
    <w:uiPriority w:val="99"/>
    <w:rsid w:val="00F935CB"/>
    <w:rPr>
      <w:rFonts w:ascii="Consolas" w:eastAsia="Calibri" w:hAnsi="Consolas" w:cs="Consolas"/>
      <w:sz w:val="21"/>
      <w:szCs w:val="21"/>
    </w:rPr>
  </w:style>
  <w:style w:type="paragraph" w:styleId="ListParagraph">
    <w:name w:val="List Paragraph"/>
    <w:basedOn w:val="Normal"/>
    <w:uiPriority w:val="34"/>
    <w:qFormat/>
    <w:rsid w:val="00C55F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599">
      <w:bodyDiv w:val="1"/>
      <w:marLeft w:val="0"/>
      <w:marRight w:val="0"/>
      <w:marTop w:val="0"/>
      <w:marBottom w:val="0"/>
      <w:divBdr>
        <w:top w:val="none" w:sz="0" w:space="0" w:color="auto"/>
        <w:left w:val="none" w:sz="0" w:space="0" w:color="auto"/>
        <w:bottom w:val="none" w:sz="0" w:space="0" w:color="auto"/>
        <w:right w:val="none" w:sz="0" w:space="0" w:color="auto"/>
      </w:divBdr>
    </w:div>
    <w:div w:id="720642036">
      <w:bodyDiv w:val="1"/>
      <w:marLeft w:val="0"/>
      <w:marRight w:val="0"/>
      <w:marTop w:val="0"/>
      <w:marBottom w:val="0"/>
      <w:divBdr>
        <w:top w:val="none" w:sz="0" w:space="0" w:color="auto"/>
        <w:left w:val="none" w:sz="0" w:space="0" w:color="auto"/>
        <w:bottom w:val="none" w:sz="0" w:space="0" w:color="auto"/>
        <w:right w:val="none" w:sz="0" w:space="0" w:color="auto"/>
      </w:divBdr>
      <w:divsChild>
        <w:div w:id="937254709">
          <w:marLeft w:val="0"/>
          <w:marRight w:val="0"/>
          <w:marTop w:val="0"/>
          <w:marBottom w:val="0"/>
          <w:divBdr>
            <w:top w:val="none" w:sz="0" w:space="0" w:color="auto"/>
            <w:left w:val="none" w:sz="0" w:space="0" w:color="auto"/>
            <w:bottom w:val="none" w:sz="0" w:space="0" w:color="auto"/>
            <w:right w:val="none" w:sz="0" w:space="0" w:color="auto"/>
          </w:divBdr>
          <w:divsChild>
            <w:div w:id="982466264">
              <w:marLeft w:val="0"/>
              <w:marRight w:val="0"/>
              <w:marTop w:val="0"/>
              <w:marBottom w:val="0"/>
              <w:divBdr>
                <w:top w:val="none" w:sz="0" w:space="0" w:color="auto"/>
                <w:left w:val="none" w:sz="0" w:space="0" w:color="auto"/>
                <w:bottom w:val="none" w:sz="0" w:space="0" w:color="auto"/>
                <w:right w:val="none" w:sz="0" w:space="0" w:color="auto"/>
              </w:divBdr>
              <w:divsChild>
                <w:div w:id="20605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2297">
      <w:bodyDiv w:val="1"/>
      <w:marLeft w:val="0"/>
      <w:marRight w:val="0"/>
      <w:marTop w:val="0"/>
      <w:marBottom w:val="0"/>
      <w:divBdr>
        <w:top w:val="none" w:sz="0" w:space="0" w:color="auto"/>
        <w:left w:val="none" w:sz="0" w:space="0" w:color="auto"/>
        <w:bottom w:val="none" w:sz="0" w:space="0" w:color="auto"/>
        <w:right w:val="none" w:sz="0" w:space="0" w:color="auto"/>
      </w:divBdr>
    </w:div>
    <w:div w:id="16825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le.daee@nih.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al.org/p/cm/ld/fid=627" TargetMode="External"/><Relationship Id="rId6" Type="http://schemas.openxmlformats.org/officeDocument/2006/relationships/hyperlink" Target="http://www.eval.org/r/rt/rt=1&amp;item=14&amp;gtype=5&amp;req=OK" TargetMode="External"/><Relationship Id="rId7" Type="http://schemas.openxmlformats.org/officeDocument/2006/relationships/hyperlink" Target="mailto:hsuel@mail.nih.gov" TargetMode="External"/><Relationship Id="rId8" Type="http://schemas.openxmlformats.org/officeDocument/2006/relationships/hyperlink" Target="mailto:gavin.reddick@gmail.com" TargetMode="External"/><Relationship Id="rId9" Type="http://schemas.openxmlformats.org/officeDocument/2006/relationships/hyperlink" Target="mailto:riw8@cdc.gov" TargetMode="External"/><Relationship Id="rId10" Type="http://schemas.openxmlformats.org/officeDocument/2006/relationships/hyperlink" Target="mailto:joshua.schnell@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Evaluation 2006</vt:lpstr>
    </vt:vector>
  </TitlesOfParts>
  <Company>Sandia National Laboratories</Company>
  <LinksUpToDate>false</LinksUpToDate>
  <CharactersWithSpaces>3518</CharactersWithSpaces>
  <SharedDoc>false</SharedDoc>
  <HLinks>
    <vt:vector size="42" baseType="variant">
      <vt:variant>
        <vt:i4>327778</vt:i4>
      </vt:variant>
      <vt:variant>
        <vt:i4>18</vt:i4>
      </vt:variant>
      <vt:variant>
        <vt:i4>0</vt:i4>
      </vt:variant>
      <vt:variant>
        <vt:i4>5</vt:i4>
      </vt:variant>
      <vt:variant>
        <vt:lpwstr>mailto:daeed@mail.nih.gov</vt:lpwstr>
      </vt:variant>
      <vt:variant>
        <vt:lpwstr/>
      </vt:variant>
      <vt:variant>
        <vt:i4>2883655</vt:i4>
      </vt:variant>
      <vt:variant>
        <vt:i4>15</vt:i4>
      </vt:variant>
      <vt:variant>
        <vt:i4>0</vt:i4>
      </vt:variant>
      <vt:variant>
        <vt:i4>5</vt:i4>
      </vt:variant>
      <vt:variant>
        <vt:lpwstr>mailto:gretchen.jordan@comcast.net</vt:lpwstr>
      </vt:variant>
      <vt:variant>
        <vt:lpwstr/>
      </vt:variant>
      <vt:variant>
        <vt:i4>1310780</vt:i4>
      </vt:variant>
      <vt:variant>
        <vt:i4>12</vt:i4>
      </vt:variant>
      <vt:variant>
        <vt:i4>0</vt:i4>
      </vt:variant>
      <vt:variant>
        <vt:i4>5</vt:i4>
      </vt:variant>
      <vt:variant>
        <vt:lpwstr>mailto:bzuckerm@ida.org</vt:lpwstr>
      </vt:variant>
      <vt:variant>
        <vt:lpwstr/>
      </vt:variant>
      <vt:variant>
        <vt:i4>5636204</vt:i4>
      </vt:variant>
      <vt:variant>
        <vt:i4>9</vt:i4>
      </vt:variant>
      <vt:variant>
        <vt:i4>0</vt:i4>
      </vt:variant>
      <vt:variant>
        <vt:i4>5</vt:i4>
      </vt:variant>
      <vt:variant>
        <vt:lpwstr>mailto:wagnerr2@od.nih.gov</vt:lpwstr>
      </vt:variant>
      <vt:variant>
        <vt:lpwstr/>
      </vt:variant>
      <vt:variant>
        <vt:i4>3014744</vt:i4>
      </vt:variant>
      <vt:variant>
        <vt:i4>6</vt:i4>
      </vt:variant>
      <vt:variant>
        <vt:i4>0</vt:i4>
      </vt:variant>
      <vt:variant>
        <vt:i4>5</vt:i4>
      </vt:variant>
      <vt:variant>
        <vt:lpwstr>mailto:kathryn.graham@albertainnovates.ca</vt:lpwstr>
      </vt:variant>
      <vt:variant>
        <vt:lpwstr/>
      </vt:variant>
      <vt:variant>
        <vt:i4>4980751</vt:i4>
      </vt:variant>
      <vt:variant>
        <vt:i4>3</vt:i4>
      </vt:variant>
      <vt:variant>
        <vt:i4>0</vt:i4>
      </vt:variant>
      <vt:variant>
        <vt:i4>5</vt:i4>
      </vt:variant>
      <vt:variant>
        <vt:lpwstr>http://www.eval.org/r/rt/rt=1&amp;item=14&amp;gtype=5&amp;req=OK</vt:lpwstr>
      </vt:variant>
      <vt:variant>
        <vt:lpwstr/>
      </vt:variant>
      <vt:variant>
        <vt:i4>3866666</vt:i4>
      </vt:variant>
      <vt:variant>
        <vt:i4>0</vt:i4>
      </vt:variant>
      <vt:variant>
        <vt:i4>0</vt:i4>
      </vt:variant>
      <vt:variant>
        <vt:i4>5</vt:i4>
      </vt:variant>
      <vt:variant>
        <vt:lpwstr>http://www.eval.org/p/cm/ld/fid=226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2006</dc:title>
  <dc:subject/>
  <dc:creator>gbjorda</dc:creator>
  <cp:keywords/>
  <cp:lastModifiedBy>Daee, Danielle (NIH/NCI) [E]</cp:lastModifiedBy>
  <cp:revision>2</cp:revision>
  <cp:lastPrinted>2014-02-03T13:35:00Z</cp:lastPrinted>
  <dcterms:created xsi:type="dcterms:W3CDTF">2018-02-13T20:58:00Z</dcterms:created>
  <dcterms:modified xsi:type="dcterms:W3CDTF">2018-02-13T20:58:00Z</dcterms:modified>
</cp:coreProperties>
</file>