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5267A6" w14:textId="37B03810" w:rsidR="00C15365" w:rsidRPr="00CE378F" w:rsidRDefault="004C4A6A" w:rsidP="007D269D">
      <w:pPr>
        <w:rPr>
          <w:rFonts w:asciiTheme="minorHAnsi" w:hAnsiTheme="minorHAnsi" w:cstheme="minorHAnsi"/>
          <w:b/>
          <w:bCs/>
          <w:sz w:val="44"/>
          <w:szCs w:val="44"/>
        </w:rPr>
      </w:pPr>
      <w:bookmarkStart w:id="0" w:name="_GoBack"/>
      <w:bookmarkEnd w:id="0"/>
      <w:r w:rsidRPr="00CE378F">
        <w:rPr>
          <w:rFonts w:asciiTheme="minorHAnsi" w:hAnsiTheme="minorHAnsi" w:cstheme="minorHAnsi"/>
          <w:b/>
          <w:bCs/>
          <w:sz w:val="44"/>
          <w:szCs w:val="44"/>
        </w:rPr>
        <w:t>Financing Our Energy Future</w:t>
      </w:r>
      <w:r w:rsidR="00AD0F99" w:rsidRPr="00CE378F">
        <w:rPr>
          <w:rFonts w:asciiTheme="minorHAnsi" w:hAnsiTheme="minorHAnsi" w:cstheme="minorHAnsi"/>
          <w:b/>
          <w:bCs/>
          <w:sz w:val="44"/>
          <w:szCs w:val="44"/>
        </w:rPr>
        <w:t xml:space="preserve"> Act</w:t>
      </w:r>
    </w:p>
    <w:p w14:paraId="555F1C73" w14:textId="235970E0" w:rsidR="00AD0F99" w:rsidRPr="00CE378F" w:rsidRDefault="00AD0F99" w:rsidP="00AD0F99">
      <w:pPr>
        <w:tabs>
          <w:tab w:val="left" w:pos="2436"/>
        </w:tabs>
        <w:rPr>
          <w:rFonts w:asciiTheme="minorHAnsi" w:hAnsiTheme="minorHAnsi" w:cstheme="minorHAnsi"/>
          <w:bCs/>
          <w:i/>
          <w:iCs/>
          <w:color w:val="595959"/>
          <w:sz w:val="24"/>
        </w:rPr>
      </w:pPr>
      <w:r w:rsidRPr="00CE378F">
        <w:rPr>
          <w:rFonts w:asciiTheme="minorHAnsi" w:hAnsiTheme="minorHAnsi" w:cstheme="minorHAnsi"/>
          <w:bCs/>
          <w:i/>
          <w:iCs/>
          <w:color w:val="595959"/>
          <w:sz w:val="24"/>
        </w:rPr>
        <w:t xml:space="preserve">A </w:t>
      </w:r>
      <w:r w:rsidR="00BA1BD7" w:rsidRPr="00CE378F">
        <w:rPr>
          <w:rFonts w:asciiTheme="minorHAnsi" w:hAnsiTheme="minorHAnsi" w:cstheme="minorHAnsi"/>
          <w:bCs/>
          <w:i/>
          <w:iCs/>
          <w:color w:val="595959"/>
          <w:sz w:val="24"/>
        </w:rPr>
        <w:t xml:space="preserve">bipartisan </w:t>
      </w:r>
      <w:r w:rsidRPr="00CE378F">
        <w:rPr>
          <w:rFonts w:asciiTheme="minorHAnsi" w:hAnsiTheme="minorHAnsi" w:cstheme="minorHAnsi"/>
          <w:bCs/>
          <w:i/>
          <w:iCs/>
          <w:color w:val="595959"/>
          <w:sz w:val="24"/>
        </w:rPr>
        <w:t xml:space="preserve">bill to level the playing field </w:t>
      </w:r>
      <w:r w:rsidR="004C4A6A" w:rsidRPr="00CE378F">
        <w:rPr>
          <w:rFonts w:asciiTheme="minorHAnsi" w:hAnsiTheme="minorHAnsi" w:cstheme="minorHAnsi"/>
          <w:bCs/>
          <w:i/>
          <w:iCs/>
          <w:color w:val="595959"/>
          <w:sz w:val="24"/>
        </w:rPr>
        <w:t xml:space="preserve">for </w:t>
      </w:r>
      <w:r w:rsidR="00A47C3F" w:rsidRPr="00CE378F">
        <w:rPr>
          <w:rFonts w:asciiTheme="minorHAnsi" w:hAnsiTheme="minorHAnsi" w:cstheme="minorHAnsi"/>
          <w:bCs/>
          <w:i/>
          <w:iCs/>
          <w:color w:val="595959"/>
          <w:sz w:val="24"/>
        </w:rPr>
        <w:t xml:space="preserve">clean </w:t>
      </w:r>
      <w:r w:rsidRPr="00CE378F">
        <w:rPr>
          <w:rFonts w:asciiTheme="minorHAnsi" w:hAnsiTheme="minorHAnsi" w:cstheme="minorHAnsi"/>
          <w:bCs/>
          <w:i/>
          <w:iCs/>
          <w:color w:val="595959"/>
          <w:sz w:val="24"/>
        </w:rPr>
        <w:t xml:space="preserve">energy projects </w:t>
      </w:r>
      <w:r w:rsidR="004C4A6A" w:rsidRPr="00CE378F">
        <w:rPr>
          <w:rFonts w:asciiTheme="minorHAnsi" w:hAnsiTheme="minorHAnsi" w:cstheme="minorHAnsi"/>
          <w:bCs/>
          <w:i/>
          <w:iCs/>
          <w:color w:val="595959"/>
          <w:sz w:val="24"/>
        </w:rPr>
        <w:t xml:space="preserve">by giving investors </w:t>
      </w:r>
      <w:r w:rsidRPr="00CE378F">
        <w:rPr>
          <w:rFonts w:asciiTheme="minorHAnsi" w:hAnsiTheme="minorHAnsi" w:cstheme="minorHAnsi"/>
          <w:bCs/>
          <w:i/>
          <w:iCs/>
          <w:color w:val="595959"/>
          <w:sz w:val="24"/>
        </w:rPr>
        <w:t>access to a decades-old</w:t>
      </w:r>
      <w:r w:rsidR="004C4A6A" w:rsidRPr="00CE378F">
        <w:rPr>
          <w:rFonts w:asciiTheme="minorHAnsi" w:hAnsiTheme="minorHAnsi" w:cstheme="minorHAnsi"/>
          <w:bCs/>
          <w:i/>
          <w:iCs/>
          <w:color w:val="595959"/>
          <w:sz w:val="24"/>
        </w:rPr>
        <w:t>, tax-advantaged</w:t>
      </w:r>
      <w:r w:rsidR="001201FB" w:rsidRPr="00CE378F">
        <w:rPr>
          <w:rFonts w:asciiTheme="minorHAnsi" w:hAnsiTheme="minorHAnsi" w:cstheme="minorHAnsi"/>
          <w:bCs/>
          <w:i/>
          <w:iCs/>
          <w:color w:val="595959"/>
          <w:sz w:val="24"/>
        </w:rPr>
        <w:t xml:space="preserve"> corporate structure </w:t>
      </w:r>
      <w:r w:rsidR="004C4A6A" w:rsidRPr="00CE378F">
        <w:rPr>
          <w:rFonts w:asciiTheme="minorHAnsi" w:hAnsiTheme="minorHAnsi" w:cstheme="minorHAnsi"/>
          <w:bCs/>
          <w:i/>
          <w:iCs/>
          <w:color w:val="595959"/>
          <w:sz w:val="24"/>
        </w:rPr>
        <w:t>currently only</w:t>
      </w:r>
      <w:r w:rsidRPr="00CE378F">
        <w:rPr>
          <w:rFonts w:asciiTheme="minorHAnsi" w:hAnsiTheme="minorHAnsi" w:cstheme="minorHAnsi"/>
          <w:bCs/>
          <w:i/>
          <w:iCs/>
          <w:color w:val="595959"/>
          <w:sz w:val="24"/>
        </w:rPr>
        <w:t xml:space="preserve"> available to fossil fuel-based energy projects</w:t>
      </w:r>
      <w:r w:rsidR="007D269D">
        <w:rPr>
          <w:rFonts w:asciiTheme="minorHAnsi" w:hAnsiTheme="minorHAnsi" w:cstheme="minorHAnsi"/>
          <w:bCs/>
          <w:i/>
          <w:iCs/>
          <w:color w:val="595959"/>
          <w:sz w:val="24"/>
        </w:rPr>
        <w:t>.</w:t>
      </w:r>
    </w:p>
    <w:p w14:paraId="3CD35D1E" w14:textId="77777777" w:rsidR="00914EA6" w:rsidRPr="00CE378F" w:rsidRDefault="00914EA6" w:rsidP="00AD0F99">
      <w:pPr>
        <w:tabs>
          <w:tab w:val="left" w:pos="2436"/>
        </w:tabs>
        <w:rPr>
          <w:rFonts w:asciiTheme="minorHAnsi" w:hAnsiTheme="minorHAnsi" w:cstheme="minorHAnsi"/>
          <w:sz w:val="24"/>
        </w:rPr>
      </w:pPr>
    </w:p>
    <w:p w14:paraId="13A80C9C" w14:textId="01CA3146" w:rsidR="00AD0F99" w:rsidRPr="00CE378F" w:rsidRDefault="00AD0F99" w:rsidP="00AD0F99">
      <w:pPr>
        <w:rPr>
          <w:rFonts w:asciiTheme="minorHAnsi" w:hAnsiTheme="minorHAnsi" w:cstheme="minorHAnsi"/>
          <w:bCs/>
          <w:sz w:val="24"/>
        </w:rPr>
      </w:pPr>
      <w:r w:rsidRPr="00CE378F">
        <w:rPr>
          <w:rFonts w:asciiTheme="minorHAnsi" w:hAnsiTheme="minorHAnsi" w:cstheme="minorHAnsi"/>
          <w:bCs/>
          <w:sz w:val="24"/>
        </w:rPr>
        <w:t>At a time when the United States needs to increase domestic energy production and leaders of both political parties say th</w:t>
      </w:r>
      <w:r w:rsidR="000368ED" w:rsidRPr="00CE378F">
        <w:rPr>
          <w:rFonts w:asciiTheme="minorHAnsi" w:hAnsiTheme="minorHAnsi" w:cstheme="minorHAnsi"/>
          <w:bCs/>
          <w:sz w:val="24"/>
        </w:rPr>
        <w:t>ey support an all-of-the-above</w:t>
      </w:r>
      <w:r w:rsidRPr="00CE378F">
        <w:rPr>
          <w:rFonts w:asciiTheme="minorHAnsi" w:hAnsiTheme="minorHAnsi" w:cstheme="minorHAnsi"/>
          <w:bCs/>
          <w:sz w:val="24"/>
        </w:rPr>
        <w:t xml:space="preserve"> energy strategy, Congress should level the playing field and give all sources of domestic energy a fair sh</w:t>
      </w:r>
      <w:r w:rsidR="00EA66C1" w:rsidRPr="00CE378F">
        <w:rPr>
          <w:rFonts w:asciiTheme="minorHAnsi" w:hAnsiTheme="minorHAnsi" w:cstheme="minorHAnsi"/>
          <w:bCs/>
          <w:sz w:val="24"/>
        </w:rPr>
        <w:t>ot at success</w:t>
      </w:r>
      <w:r w:rsidRPr="00CE378F">
        <w:rPr>
          <w:rFonts w:asciiTheme="minorHAnsi" w:hAnsiTheme="minorHAnsi" w:cstheme="minorHAnsi"/>
          <w:bCs/>
          <w:sz w:val="24"/>
        </w:rPr>
        <w:t>.</w:t>
      </w:r>
    </w:p>
    <w:p w14:paraId="30F885CE" w14:textId="5AC86881" w:rsidR="00AD0F99" w:rsidRPr="00CE378F" w:rsidRDefault="00D065E7" w:rsidP="00AD0F99">
      <w:pPr>
        <w:rPr>
          <w:rFonts w:asciiTheme="minorHAnsi" w:hAnsiTheme="minorHAnsi" w:cstheme="minorHAnsi"/>
          <w:bCs/>
          <w:sz w:val="24"/>
        </w:rPr>
      </w:pPr>
      <w:r>
        <w:rPr>
          <w:rFonts w:asciiTheme="minorHAnsi" w:hAnsiTheme="minorHAnsi" w:cstheme="minorHAnsi"/>
          <w:bCs/>
          <w:noProof/>
          <w:sz w:val="24"/>
        </w:rPr>
        <mc:AlternateContent>
          <mc:Choice Requires="wps">
            <w:drawing>
              <wp:anchor distT="0" distB="0" distL="114300" distR="114300" simplePos="0" relativeHeight="251656191" behindDoc="0" locked="0" layoutInCell="1" allowOverlap="1" wp14:anchorId="242C0CC7" wp14:editId="0CE4E296">
                <wp:simplePos x="0" y="0"/>
                <wp:positionH relativeFrom="column">
                  <wp:posOffset>3246120</wp:posOffset>
                </wp:positionH>
                <wp:positionV relativeFrom="paragraph">
                  <wp:posOffset>118745</wp:posOffset>
                </wp:positionV>
                <wp:extent cx="3063240" cy="2505456"/>
                <wp:effectExtent l="0" t="0" r="22860" b="28575"/>
                <wp:wrapNone/>
                <wp:docPr id="4" name="Rounded Rectangle 4"/>
                <wp:cNvGraphicFramePr/>
                <a:graphic xmlns:a="http://schemas.openxmlformats.org/drawingml/2006/main">
                  <a:graphicData uri="http://schemas.microsoft.com/office/word/2010/wordprocessingShape">
                    <wps:wsp>
                      <wps:cNvSpPr/>
                      <wps:spPr>
                        <a:xfrm>
                          <a:off x="0" y="0"/>
                          <a:ext cx="3063240" cy="2505456"/>
                        </a:xfrm>
                        <a:prstGeom prst="roundRect">
                          <a:avLst/>
                        </a:prstGeom>
                        <a:solidFill>
                          <a:schemeClr val="accent1">
                            <a:lumMod val="40000"/>
                            <a:lumOff val="60000"/>
                            <a:alpha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66D2F0A" id="Rounded Rectangle 4" o:spid="_x0000_s1026" style="position:absolute;margin-left:255.6pt;margin-top:9.35pt;width:241.2pt;height:197.3pt;z-index:2516561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" fillcolor="#bdd6ee [1300]" strokecolor="#1f4d78 [1604]" strokeweight="1pt">
                <v:fill opacity="39321f"/>
                <v:stroke joinstyle="miter"/>
              </v:roundrect>
            </w:pict>
          </mc:Fallback>
        </mc:AlternateContent>
      </w:r>
      <w:r w:rsidRPr="00CE378F">
        <w:rPr>
          <w:rFonts w:asciiTheme="minorHAnsi" w:hAnsiTheme="minorHAnsi" w:cstheme="minorHAnsi"/>
          <w:b/>
          <w:bCs/>
          <w:noProof/>
          <w:sz w:val="24"/>
        </w:rPr>
        <mc:AlternateContent>
          <mc:Choice Requires="wps">
            <w:drawing>
              <wp:anchor distT="0" distB="91440" distL="274320" distR="0" simplePos="0" relativeHeight="251657216" behindDoc="1" locked="0" layoutInCell="1" allowOverlap="1" wp14:anchorId="12F753A8" wp14:editId="1DEAC987">
                <wp:simplePos x="0" y="0"/>
                <wp:positionH relativeFrom="column">
                  <wp:posOffset>3295650</wp:posOffset>
                </wp:positionH>
                <wp:positionV relativeFrom="paragraph">
                  <wp:posOffset>161925</wp:posOffset>
                </wp:positionV>
                <wp:extent cx="2971800" cy="2414016"/>
                <wp:effectExtent l="0" t="0" r="0" b="0"/>
                <wp:wrapSquare wrapText="bothSides"/>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2414016"/>
                        </a:xfrm>
                        <a:prstGeom prst="rect">
                          <a:avLst/>
                        </a:prstGeom>
                        <a:noFill/>
                        <a:ln>
                          <a:noFill/>
                        </a:ln>
                      </wps:spPr>
                      <wps:txbx>
                        <w:txbxContent>
                          <w:p w14:paraId="6BCC0745" w14:textId="25CDA953" w:rsidR="0077691B" w:rsidRPr="007D269D" w:rsidRDefault="0077691B">
                            <w:pPr>
                              <w:rPr>
                                <w:rFonts w:asciiTheme="minorHAnsi" w:hAnsiTheme="minorHAnsi" w:cstheme="minorHAnsi"/>
                                <w:bCs/>
                                <w:i/>
                                <w:sz w:val="26"/>
                                <w:szCs w:val="26"/>
                              </w:rPr>
                            </w:pPr>
                            <w:r w:rsidRPr="007D269D">
                              <w:rPr>
                                <w:rFonts w:asciiTheme="minorHAnsi" w:hAnsiTheme="minorHAnsi" w:cstheme="minorHAnsi"/>
                                <w:bCs/>
                                <w:i/>
                                <w:sz w:val="26"/>
                                <w:szCs w:val="26"/>
                              </w:rPr>
                              <w:t>“Master limited partnerships carry the fund-raising advantages of a corporation: ownership interests are publicly traded and offer investors the liquidity, limited liability and dividends of classic corporations. With average dividends of just 6 percent, these investment vehicles could substantially reduce the cost of financing renewables.”</w:t>
                            </w:r>
                          </w:p>
                          <w:p w14:paraId="0D3FC9EC" w14:textId="3A572E0D" w:rsidR="0077691B" w:rsidRPr="007D269D" w:rsidRDefault="007D269D" w:rsidP="007D269D">
                            <w:pPr>
                              <w:tabs>
                                <w:tab w:val="left" w:pos="810"/>
                              </w:tabs>
                              <w:ind w:left="360"/>
                              <w:jc w:val="right"/>
                              <w:rPr>
                                <w:rFonts w:asciiTheme="minorHAnsi" w:hAnsiTheme="minorHAnsi" w:cstheme="minorHAnsi"/>
                                <w:bCs/>
                                <w:sz w:val="18"/>
                                <w:szCs w:val="16"/>
                              </w:rPr>
                            </w:pPr>
                            <w:r>
                              <w:rPr>
                                <w:rFonts w:asciiTheme="minorHAnsi" w:hAnsiTheme="minorHAnsi" w:cstheme="minorHAnsi"/>
                                <w:bCs/>
                                <w:sz w:val="18"/>
                                <w:szCs w:val="16"/>
                              </w:rPr>
                              <w:t xml:space="preserve">– </w:t>
                            </w:r>
                            <w:r w:rsidR="0077691B" w:rsidRPr="007D269D">
                              <w:rPr>
                                <w:rFonts w:asciiTheme="minorHAnsi" w:hAnsiTheme="minorHAnsi" w:cstheme="minorHAnsi"/>
                                <w:bCs/>
                                <w:sz w:val="18"/>
                                <w:szCs w:val="16"/>
                              </w:rPr>
                              <w:t>D</w:t>
                            </w:r>
                            <w:r>
                              <w:rPr>
                                <w:rFonts w:asciiTheme="minorHAnsi" w:hAnsiTheme="minorHAnsi" w:cstheme="minorHAnsi"/>
                                <w:bCs/>
                                <w:sz w:val="18"/>
                                <w:szCs w:val="16"/>
                              </w:rPr>
                              <w:t xml:space="preserve">an Reicher and Felix </w:t>
                            </w:r>
                            <w:proofErr w:type="spellStart"/>
                            <w:r>
                              <w:rPr>
                                <w:rFonts w:asciiTheme="minorHAnsi" w:hAnsiTheme="minorHAnsi" w:cstheme="minorHAnsi"/>
                                <w:bCs/>
                                <w:sz w:val="18"/>
                                <w:szCs w:val="16"/>
                              </w:rPr>
                              <w:t>Mormann</w:t>
                            </w:r>
                            <w:proofErr w:type="spellEnd"/>
                            <w:r>
                              <w:rPr>
                                <w:rFonts w:asciiTheme="minorHAnsi" w:hAnsiTheme="minorHAnsi" w:cstheme="minorHAnsi"/>
                                <w:bCs/>
                                <w:sz w:val="18"/>
                                <w:szCs w:val="16"/>
                              </w:rPr>
                              <w:t xml:space="preserve">, </w:t>
                            </w:r>
                            <w:r w:rsidR="0077691B" w:rsidRPr="007D269D">
                              <w:rPr>
                                <w:rFonts w:asciiTheme="minorHAnsi" w:hAnsiTheme="minorHAnsi" w:cstheme="minorHAnsi"/>
                                <w:bCs/>
                                <w:sz w:val="18"/>
                                <w:szCs w:val="16"/>
                              </w:rPr>
                              <w:t xml:space="preserve">Stanford University’s Steyer-Taylor Center for Energy Policy and Finance, </w:t>
                            </w:r>
                            <w:r w:rsidR="0077691B" w:rsidRPr="007D269D">
                              <w:rPr>
                                <w:rFonts w:asciiTheme="minorHAnsi" w:hAnsiTheme="minorHAnsi" w:cstheme="minorHAnsi"/>
                                <w:bCs/>
                                <w:i/>
                                <w:iCs/>
                                <w:sz w:val="18"/>
                                <w:szCs w:val="16"/>
                              </w:rPr>
                              <w:t>New York Times</w:t>
                            </w:r>
                            <w:r w:rsidR="00F72265" w:rsidRPr="007D269D">
                              <w:rPr>
                                <w:rFonts w:asciiTheme="minorHAnsi" w:hAnsiTheme="minorHAnsi" w:cstheme="minorHAnsi"/>
                                <w:bCs/>
                                <w:sz w:val="18"/>
                                <w:szCs w:val="16"/>
                              </w:rPr>
                              <w:t xml:space="preserve">, </w:t>
                            </w:r>
                            <w:r w:rsidR="0077691B" w:rsidRPr="007D269D">
                              <w:rPr>
                                <w:rFonts w:asciiTheme="minorHAnsi" w:hAnsiTheme="minorHAnsi" w:cstheme="minorHAnsi"/>
                                <w:bCs/>
                                <w:sz w:val="18"/>
                                <w:szCs w:val="16"/>
                              </w:rPr>
                              <w:t>June 2</w:t>
                            </w:r>
                            <w:r w:rsidR="00F72265" w:rsidRPr="007D269D">
                              <w:rPr>
                                <w:rFonts w:asciiTheme="minorHAnsi" w:hAnsiTheme="minorHAnsi" w:cstheme="minorHAnsi"/>
                                <w:bCs/>
                                <w:sz w:val="18"/>
                                <w:szCs w:val="16"/>
                              </w:rPr>
                              <w:t>, 2012</w:t>
                            </w:r>
                          </w:p>
                        </w:txbxContent>
                      </wps:txbx>
                      <wps:bodyPr rot="0" vert="horz" wrap="square" lIns="91440" tIns="91440" rIns="91440" bIns="91440" anchor="ctr" anchorCtr="0" upright="1">
                        <a:spAutoFit/>
                      </wps:bodyPr>
                    </wps:wsp>
                  </a:graphicData>
                </a:graphic>
                <wp14:sizeRelH relativeFrom="page">
                  <wp14:pctWidth>0</wp14:pctWidth>
                </wp14:sizeRelH>
                <wp14:sizeRelV relativeFrom="page">
                  <wp14:pctHeight>0</wp14:pctHeight>
                </wp14:sizeRelV>
              </wp:anchor>
            </w:drawing>
          </mc:Choice>
          <mc:Fallback>
            <w:pict>
              <v:shapetype w14:anchorId="12F753A8" id="_x0000_t202" coordsize="21600,21600" o:spt="202" path="m,l,21600r21600,l21600,xe">
                <v:stroke joinstyle="miter"/>
                <v:path gradientshapeok="t" o:connecttype="rect"/>
              </v:shapetype>
              <v:shape id="Text Box 3" o:spid="_x0000_s1026" type="#_x0000_t202" style="position:absolute;margin-left:259.5pt;margin-top:12.75pt;width:234pt;height:190.1pt;z-index:-251659264;visibility:visible;mso-wrap-style:square;mso-width-percent:0;mso-height-percent:0;mso-wrap-distance-left:21.6pt;mso-wrap-distance-top:0;mso-wrap-distance-right:0;mso-wrap-distance-bottom:7.2pt;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" filled="f" stroked="f">
                <v:textbox style="mso-fit-shape-to-text:t" inset=",7.2pt,,7.2pt">
                  <w:txbxContent>
                    <w:p w14:paraId="6BCC0745" w14:textId="25CDA953" w:rsidR="0077691B" w:rsidRPr="007D269D" w:rsidRDefault="0077691B">
                      <w:pPr>
                        <w:rPr>
                          <w:rFonts w:asciiTheme="minorHAnsi" w:hAnsiTheme="minorHAnsi" w:cstheme="minorHAnsi"/>
                          <w:bCs/>
                          <w:i/>
                          <w:sz w:val="26"/>
                          <w:szCs w:val="26"/>
                        </w:rPr>
                      </w:pPr>
                      <w:r w:rsidRPr="007D269D">
                        <w:rPr>
                          <w:rFonts w:asciiTheme="minorHAnsi" w:hAnsiTheme="minorHAnsi" w:cstheme="minorHAnsi"/>
                          <w:bCs/>
                          <w:i/>
                          <w:sz w:val="26"/>
                          <w:szCs w:val="26"/>
                        </w:rPr>
                        <w:t>“Master limited partnerships carry the fund-raising advantages of a corporation: ownership interests are publicly traded and offer investors the liquidity, limited liability and dividends of classic corporations. With average dividends of just 6 percent, these investment vehicles could substantially reduce the cost of financing renewables.”</w:t>
                      </w:r>
                    </w:p>
                    <w:p w14:paraId="0D3FC9EC" w14:textId="3A572E0D" w:rsidR="0077691B" w:rsidRPr="007D269D" w:rsidRDefault="007D269D" w:rsidP="007D269D">
                      <w:pPr>
                        <w:tabs>
                          <w:tab w:val="left" w:pos="810"/>
                        </w:tabs>
                        <w:ind w:left="360"/>
                        <w:jc w:val="right"/>
                        <w:rPr>
                          <w:rFonts w:asciiTheme="minorHAnsi" w:hAnsiTheme="minorHAnsi" w:cstheme="minorHAnsi"/>
                          <w:bCs/>
                          <w:sz w:val="18"/>
                          <w:szCs w:val="16"/>
                        </w:rPr>
                      </w:pPr>
                      <w:r>
                        <w:rPr>
                          <w:rFonts w:asciiTheme="minorHAnsi" w:hAnsiTheme="minorHAnsi" w:cstheme="minorHAnsi"/>
                          <w:bCs/>
                          <w:sz w:val="18"/>
                          <w:szCs w:val="16"/>
                        </w:rPr>
                        <w:t xml:space="preserve">– </w:t>
                      </w:r>
                      <w:r w:rsidR="0077691B" w:rsidRPr="007D269D">
                        <w:rPr>
                          <w:rFonts w:asciiTheme="minorHAnsi" w:hAnsiTheme="minorHAnsi" w:cstheme="minorHAnsi"/>
                          <w:bCs/>
                          <w:sz w:val="18"/>
                          <w:szCs w:val="16"/>
                        </w:rPr>
                        <w:t>D</w:t>
                      </w:r>
                      <w:r>
                        <w:rPr>
                          <w:rFonts w:asciiTheme="minorHAnsi" w:hAnsiTheme="minorHAnsi" w:cstheme="minorHAnsi"/>
                          <w:bCs/>
                          <w:sz w:val="18"/>
                          <w:szCs w:val="16"/>
                        </w:rPr>
                        <w:t xml:space="preserve">an Reicher and Felix Mormann, </w:t>
                      </w:r>
                      <w:r w:rsidR="0077691B" w:rsidRPr="007D269D">
                        <w:rPr>
                          <w:rFonts w:asciiTheme="minorHAnsi" w:hAnsiTheme="minorHAnsi" w:cstheme="minorHAnsi"/>
                          <w:bCs/>
                          <w:sz w:val="18"/>
                          <w:szCs w:val="16"/>
                        </w:rPr>
                        <w:t xml:space="preserve">Stanford University’s Steyer-Taylor Center for Energy Policy and Finance, </w:t>
                      </w:r>
                      <w:r w:rsidR="0077691B" w:rsidRPr="007D269D">
                        <w:rPr>
                          <w:rFonts w:asciiTheme="minorHAnsi" w:hAnsiTheme="minorHAnsi" w:cstheme="minorHAnsi"/>
                          <w:bCs/>
                          <w:i/>
                          <w:iCs/>
                          <w:sz w:val="18"/>
                          <w:szCs w:val="16"/>
                        </w:rPr>
                        <w:t>New York Times</w:t>
                      </w:r>
                      <w:r w:rsidR="00F72265" w:rsidRPr="007D269D">
                        <w:rPr>
                          <w:rFonts w:asciiTheme="minorHAnsi" w:hAnsiTheme="minorHAnsi" w:cstheme="minorHAnsi"/>
                          <w:bCs/>
                          <w:sz w:val="18"/>
                          <w:szCs w:val="16"/>
                        </w:rPr>
                        <w:t xml:space="preserve">, </w:t>
                      </w:r>
                      <w:r w:rsidR="0077691B" w:rsidRPr="007D269D">
                        <w:rPr>
                          <w:rFonts w:asciiTheme="minorHAnsi" w:hAnsiTheme="minorHAnsi" w:cstheme="minorHAnsi"/>
                          <w:bCs/>
                          <w:sz w:val="18"/>
                          <w:szCs w:val="16"/>
                        </w:rPr>
                        <w:t>June 2</w:t>
                      </w:r>
                      <w:r w:rsidR="00F72265" w:rsidRPr="007D269D">
                        <w:rPr>
                          <w:rFonts w:asciiTheme="minorHAnsi" w:hAnsiTheme="minorHAnsi" w:cstheme="minorHAnsi"/>
                          <w:bCs/>
                          <w:sz w:val="18"/>
                          <w:szCs w:val="16"/>
                        </w:rPr>
                        <w:t>, 2012</w:t>
                      </w:r>
                    </w:p>
                  </w:txbxContent>
                </v:textbox>
                <w10:wrap type="square"/>
              </v:shape>
            </w:pict>
          </mc:Fallback>
        </mc:AlternateContent>
      </w:r>
    </w:p>
    <w:p w14:paraId="4A6ABBF8" w14:textId="77777777" w:rsidR="00D065E7" w:rsidRDefault="00AD0F99" w:rsidP="00AD0F99">
      <w:pPr>
        <w:rPr>
          <w:rFonts w:asciiTheme="minorHAnsi" w:hAnsiTheme="minorHAnsi" w:cstheme="minorHAnsi"/>
          <w:bCs/>
          <w:sz w:val="24"/>
        </w:rPr>
      </w:pPr>
      <w:r w:rsidRPr="00CE378F">
        <w:rPr>
          <w:rFonts w:asciiTheme="minorHAnsi" w:hAnsiTheme="minorHAnsi" w:cstheme="minorHAnsi"/>
          <w:bCs/>
          <w:sz w:val="24"/>
        </w:rPr>
        <w:t xml:space="preserve">The federal government should not be in the business of picking winners and losers in the energy market, but for </w:t>
      </w:r>
      <w:r w:rsidR="00A47C3F" w:rsidRPr="00CE378F">
        <w:rPr>
          <w:rFonts w:asciiTheme="minorHAnsi" w:hAnsiTheme="minorHAnsi" w:cstheme="minorHAnsi"/>
          <w:bCs/>
          <w:sz w:val="24"/>
        </w:rPr>
        <w:t>more than</w:t>
      </w:r>
      <w:r w:rsidRPr="00CE378F">
        <w:rPr>
          <w:rFonts w:asciiTheme="minorHAnsi" w:hAnsiTheme="minorHAnsi" w:cstheme="minorHAnsi"/>
          <w:bCs/>
          <w:sz w:val="24"/>
        </w:rPr>
        <w:t xml:space="preserve"> 30 years, that’s exactly what it has been doing with a provision in the tax code that authorizes the formation of maste</w:t>
      </w:r>
      <w:r w:rsidR="004C4A6A" w:rsidRPr="00CE378F">
        <w:rPr>
          <w:rFonts w:asciiTheme="minorHAnsi" w:hAnsiTheme="minorHAnsi" w:cstheme="minorHAnsi"/>
          <w:bCs/>
          <w:sz w:val="24"/>
        </w:rPr>
        <w:t xml:space="preserve">r limited partnerships (MLPs). </w:t>
      </w:r>
    </w:p>
    <w:p w14:paraId="2AC2E8CE" w14:textId="77777777" w:rsidR="00D065E7" w:rsidRDefault="00D065E7" w:rsidP="00AD0F99">
      <w:pPr>
        <w:rPr>
          <w:rFonts w:asciiTheme="minorHAnsi" w:hAnsiTheme="minorHAnsi" w:cstheme="minorHAnsi"/>
          <w:bCs/>
          <w:sz w:val="24"/>
        </w:rPr>
      </w:pPr>
    </w:p>
    <w:p w14:paraId="6E9F514C" w14:textId="2F3CEC7C" w:rsidR="00AD0F99" w:rsidRPr="00CE378F" w:rsidRDefault="00AD0F99" w:rsidP="00AD0F99">
      <w:pPr>
        <w:rPr>
          <w:rFonts w:asciiTheme="minorHAnsi" w:hAnsiTheme="minorHAnsi" w:cstheme="minorHAnsi"/>
          <w:bCs/>
          <w:sz w:val="24"/>
        </w:rPr>
      </w:pPr>
      <w:r w:rsidRPr="00CE378F">
        <w:rPr>
          <w:rFonts w:asciiTheme="minorHAnsi" w:hAnsiTheme="minorHAnsi" w:cstheme="minorHAnsi"/>
          <w:bCs/>
          <w:sz w:val="24"/>
        </w:rPr>
        <w:t>By statute, MLPs have only been available to inv</w:t>
      </w:r>
      <w:r w:rsidR="00EA66C1" w:rsidRPr="00CE378F">
        <w:rPr>
          <w:rFonts w:asciiTheme="minorHAnsi" w:hAnsiTheme="minorHAnsi" w:cstheme="minorHAnsi"/>
          <w:bCs/>
          <w:sz w:val="24"/>
        </w:rPr>
        <w:t xml:space="preserve">estors in energy portfolios such as </w:t>
      </w:r>
      <w:r w:rsidRPr="00CE378F">
        <w:rPr>
          <w:rFonts w:asciiTheme="minorHAnsi" w:hAnsiTheme="minorHAnsi" w:cstheme="minorHAnsi"/>
          <w:bCs/>
          <w:sz w:val="24"/>
        </w:rPr>
        <w:t xml:space="preserve">oil, natural gas, coal extraction, and pipeline projects. </w:t>
      </w:r>
      <w:r w:rsidR="00EF0DBC">
        <w:rPr>
          <w:rFonts w:asciiTheme="minorHAnsi" w:hAnsiTheme="minorHAnsi" w:cstheme="minorHAnsi"/>
          <w:bCs/>
          <w:sz w:val="24"/>
        </w:rPr>
        <w:t>Because their units can be publicly traded, t</w:t>
      </w:r>
      <w:r w:rsidRPr="00CE378F">
        <w:rPr>
          <w:rFonts w:asciiTheme="minorHAnsi" w:hAnsiTheme="minorHAnsi" w:cstheme="minorHAnsi"/>
          <w:bCs/>
          <w:sz w:val="24"/>
        </w:rPr>
        <w:t xml:space="preserve">hese projects get access to </w:t>
      </w:r>
      <w:r w:rsidR="00EF0DBC">
        <w:rPr>
          <w:rFonts w:asciiTheme="minorHAnsi" w:hAnsiTheme="minorHAnsi" w:cstheme="minorHAnsi"/>
          <w:bCs/>
          <w:sz w:val="24"/>
        </w:rPr>
        <w:t xml:space="preserve">larger and more liquid sources of </w:t>
      </w:r>
      <w:r w:rsidRPr="00CE378F">
        <w:rPr>
          <w:rFonts w:asciiTheme="minorHAnsi" w:hAnsiTheme="minorHAnsi" w:cstheme="minorHAnsi"/>
          <w:bCs/>
          <w:sz w:val="24"/>
        </w:rPr>
        <w:t xml:space="preserve">capital than </w:t>
      </w:r>
      <w:r w:rsidR="00EF0DBC">
        <w:rPr>
          <w:rFonts w:asciiTheme="minorHAnsi" w:hAnsiTheme="minorHAnsi" w:cstheme="minorHAnsi"/>
          <w:bCs/>
          <w:sz w:val="24"/>
        </w:rPr>
        <w:t xml:space="preserve">are available for </w:t>
      </w:r>
      <w:r w:rsidRPr="00CE378F">
        <w:rPr>
          <w:rFonts w:asciiTheme="minorHAnsi" w:hAnsiTheme="minorHAnsi" w:cstheme="minorHAnsi"/>
          <w:bCs/>
          <w:sz w:val="24"/>
        </w:rPr>
        <w:t>traditional</w:t>
      </w:r>
      <w:r w:rsidR="00EF0DBC">
        <w:rPr>
          <w:rFonts w:asciiTheme="minorHAnsi" w:hAnsiTheme="minorHAnsi" w:cstheme="minorHAnsi"/>
          <w:bCs/>
          <w:sz w:val="24"/>
        </w:rPr>
        <w:t>ly financed</w:t>
      </w:r>
      <w:r w:rsidRPr="00CE378F">
        <w:rPr>
          <w:rFonts w:asciiTheme="minorHAnsi" w:hAnsiTheme="minorHAnsi" w:cstheme="minorHAnsi"/>
          <w:bCs/>
          <w:sz w:val="24"/>
        </w:rPr>
        <w:t xml:space="preserve"> </w:t>
      </w:r>
      <w:r w:rsidR="00EF0DBC">
        <w:rPr>
          <w:rFonts w:asciiTheme="minorHAnsi" w:hAnsiTheme="minorHAnsi" w:cstheme="minorHAnsi"/>
          <w:bCs/>
          <w:sz w:val="24"/>
        </w:rPr>
        <w:t>energy projects</w:t>
      </w:r>
      <w:r w:rsidRPr="00CE378F">
        <w:rPr>
          <w:rFonts w:asciiTheme="minorHAnsi" w:hAnsiTheme="minorHAnsi" w:cstheme="minorHAnsi"/>
          <w:bCs/>
          <w:sz w:val="24"/>
        </w:rPr>
        <w:t xml:space="preserve">. Investors in </w:t>
      </w:r>
      <w:r w:rsidR="005A7666" w:rsidRPr="00CE378F">
        <w:rPr>
          <w:rFonts w:asciiTheme="minorHAnsi" w:hAnsiTheme="minorHAnsi" w:cstheme="minorHAnsi"/>
          <w:bCs/>
          <w:sz w:val="24"/>
        </w:rPr>
        <w:t xml:space="preserve">clean </w:t>
      </w:r>
      <w:r w:rsidRPr="00CE378F">
        <w:rPr>
          <w:rFonts w:asciiTheme="minorHAnsi" w:hAnsiTheme="minorHAnsi" w:cstheme="minorHAnsi"/>
          <w:bCs/>
          <w:sz w:val="24"/>
        </w:rPr>
        <w:t xml:space="preserve">energy projects, however, have </w:t>
      </w:r>
      <w:r w:rsidR="005A7666" w:rsidRPr="00CE378F">
        <w:rPr>
          <w:rFonts w:asciiTheme="minorHAnsi" w:hAnsiTheme="minorHAnsi" w:cstheme="minorHAnsi"/>
          <w:bCs/>
          <w:sz w:val="24"/>
        </w:rPr>
        <w:t>not been authorized</w:t>
      </w:r>
      <w:r w:rsidR="00A47C3F" w:rsidRPr="00CE378F">
        <w:rPr>
          <w:rFonts w:asciiTheme="minorHAnsi" w:hAnsiTheme="minorHAnsi" w:cstheme="minorHAnsi"/>
          <w:bCs/>
          <w:sz w:val="24"/>
        </w:rPr>
        <w:t xml:space="preserve"> </w:t>
      </w:r>
      <w:r w:rsidR="005A7666" w:rsidRPr="00CE378F">
        <w:rPr>
          <w:rFonts w:asciiTheme="minorHAnsi" w:hAnsiTheme="minorHAnsi" w:cstheme="minorHAnsi"/>
          <w:bCs/>
          <w:sz w:val="24"/>
        </w:rPr>
        <w:t>to form</w:t>
      </w:r>
      <w:r w:rsidR="00A47C3F" w:rsidRPr="00CE378F">
        <w:rPr>
          <w:rFonts w:asciiTheme="minorHAnsi" w:hAnsiTheme="minorHAnsi" w:cstheme="minorHAnsi"/>
          <w:bCs/>
          <w:sz w:val="24"/>
        </w:rPr>
        <w:t xml:space="preserve"> </w:t>
      </w:r>
      <w:r w:rsidRPr="00CE378F">
        <w:rPr>
          <w:rFonts w:asciiTheme="minorHAnsi" w:hAnsiTheme="minorHAnsi" w:cstheme="minorHAnsi"/>
          <w:bCs/>
          <w:sz w:val="24"/>
        </w:rPr>
        <w:t>MLPs, starving a growing portion of America’s domestic energy sector of the capital it needs to build and grow.</w:t>
      </w:r>
      <w:r w:rsidR="007D269D">
        <w:rPr>
          <w:rFonts w:asciiTheme="minorHAnsi" w:hAnsiTheme="minorHAnsi" w:cstheme="minorHAnsi"/>
          <w:bCs/>
          <w:sz w:val="24"/>
        </w:rPr>
        <w:t xml:space="preserve"> </w:t>
      </w:r>
      <w:r w:rsidRPr="00CE378F">
        <w:rPr>
          <w:rFonts w:asciiTheme="minorHAnsi" w:hAnsiTheme="minorHAnsi" w:cstheme="minorHAnsi"/>
          <w:bCs/>
          <w:sz w:val="24"/>
        </w:rPr>
        <w:t xml:space="preserve">By allowing additional forms of energy to access this market tool, we can go beyond political rhetoric and start delivering an all-of-the-above energy strategy. </w:t>
      </w:r>
    </w:p>
    <w:p w14:paraId="34E90C0C" w14:textId="77777777" w:rsidR="006B083F" w:rsidRPr="00CE378F" w:rsidRDefault="006B083F" w:rsidP="00AD0F99">
      <w:pPr>
        <w:rPr>
          <w:rFonts w:asciiTheme="minorHAnsi" w:hAnsiTheme="minorHAnsi" w:cstheme="minorHAnsi"/>
          <w:b/>
          <w:bCs/>
          <w:sz w:val="28"/>
          <w:szCs w:val="28"/>
        </w:rPr>
      </w:pPr>
    </w:p>
    <w:p w14:paraId="79477C9F" w14:textId="77777777" w:rsidR="00AD0F99" w:rsidRPr="00CE378F" w:rsidRDefault="00AD0F99" w:rsidP="00AD0F99">
      <w:pPr>
        <w:rPr>
          <w:rFonts w:asciiTheme="minorHAnsi" w:hAnsiTheme="minorHAnsi" w:cstheme="minorHAnsi"/>
          <w:b/>
          <w:bCs/>
          <w:sz w:val="28"/>
          <w:szCs w:val="28"/>
        </w:rPr>
      </w:pPr>
      <w:r w:rsidRPr="00CE378F">
        <w:rPr>
          <w:rFonts w:asciiTheme="minorHAnsi" w:hAnsiTheme="minorHAnsi" w:cstheme="minorHAnsi"/>
          <w:b/>
          <w:bCs/>
          <w:sz w:val="28"/>
          <w:szCs w:val="28"/>
        </w:rPr>
        <w:t xml:space="preserve">How </w:t>
      </w:r>
      <w:r w:rsidR="007E3936" w:rsidRPr="00CE378F">
        <w:rPr>
          <w:rFonts w:asciiTheme="minorHAnsi" w:hAnsiTheme="minorHAnsi" w:cstheme="minorHAnsi"/>
          <w:b/>
          <w:bCs/>
          <w:sz w:val="28"/>
          <w:szCs w:val="28"/>
        </w:rPr>
        <w:t>do master limited partnerships</w:t>
      </w:r>
      <w:r w:rsidR="001213E6" w:rsidRPr="00CE378F">
        <w:rPr>
          <w:rFonts w:asciiTheme="minorHAnsi" w:hAnsiTheme="minorHAnsi" w:cstheme="minorHAnsi"/>
          <w:b/>
          <w:bCs/>
          <w:sz w:val="28"/>
          <w:szCs w:val="28"/>
        </w:rPr>
        <w:t xml:space="preserve"> work</w:t>
      </w:r>
      <w:r w:rsidR="007E3936" w:rsidRPr="00CE378F">
        <w:rPr>
          <w:rFonts w:asciiTheme="minorHAnsi" w:hAnsiTheme="minorHAnsi" w:cstheme="minorHAnsi"/>
          <w:b/>
          <w:bCs/>
          <w:sz w:val="28"/>
          <w:szCs w:val="28"/>
        </w:rPr>
        <w:t>?</w:t>
      </w:r>
    </w:p>
    <w:p w14:paraId="4684D746" w14:textId="77777777" w:rsidR="00AD0F99" w:rsidRPr="00CE378F" w:rsidRDefault="00AD0F99" w:rsidP="00AD0F99">
      <w:pPr>
        <w:rPr>
          <w:rFonts w:asciiTheme="minorHAnsi" w:hAnsiTheme="minorHAnsi" w:cstheme="minorHAnsi"/>
          <w:bCs/>
          <w:sz w:val="24"/>
        </w:rPr>
      </w:pPr>
      <w:r w:rsidRPr="00CE378F">
        <w:rPr>
          <w:rFonts w:asciiTheme="minorHAnsi" w:hAnsiTheme="minorHAnsi" w:cstheme="minorHAnsi"/>
          <w:bCs/>
          <w:sz w:val="24"/>
        </w:rPr>
        <w:t>An MLP is a business structure that is taxed as a partnership, but whose ownership interests are traded like corporate stock on a market. Whereas profit from publicly traded C corporations is taxed at both the corporate level and the shareholder level, income from MLPs is taxed only at the shareholder level because it is treated as a partnership for tax purposes.</w:t>
      </w:r>
    </w:p>
    <w:p w14:paraId="13B4D316" w14:textId="77777777" w:rsidR="007D269D" w:rsidRDefault="007D269D" w:rsidP="00AD0F99">
      <w:pPr>
        <w:rPr>
          <w:rFonts w:asciiTheme="minorHAnsi" w:hAnsiTheme="minorHAnsi" w:cstheme="minorHAnsi"/>
          <w:bCs/>
          <w:sz w:val="24"/>
        </w:rPr>
      </w:pPr>
    </w:p>
    <w:p w14:paraId="3321DB5B" w14:textId="62D947B6" w:rsidR="006B083F" w:rsidRPr="007D269D" w:rsidRDefault="00EA66C1" w:rsidP="00401334">
      <w:pPr>
        <w:rPr>
          <w:rFonts w:asciiTheme="minorHAnsi" w:hAnsiTheme="minorHAnsi" w:cstheme="minorHAnsi"/>
          <w:bCs/>
          <w:sz w:val="24"/>
        </w:rPr>
      </w:pPr>
      <w:r w:rsidRPr="00CE378F">
        <w:rPr>
          <w:rFonts w:asciiTheme="minorHAnsi" w:hAnsiTheme="minorHAnsi" w:cstheme="minorHAnsi"/>
          <w:bCs/>
          <w:sz w:val="24"/>
        </w:rPr>
        <w:t>B</w:t>
      </w:r>
      <w:r w:rsidR="00AD0F99" w:rsidRPr="00CE378F">
        <w:rPr>
          <w:rFonts w:asciiTheme="minorHAnsi" w:hAnsiTheme="minorHAnsi" w:cstheme="minorHAnsi"/>
          <w:bCs/>
          <w:sz w:val="24"/>
        </w:rPr>
        <w:t>ecause MLPs are so attractive to investors, they have been proven to bring new capital into American energy projects. This is especially important in the case of renewable</w:t>
      </w:r>
      <w:r w:rsidR="00B36EFC">
        <w:rPr>
          <w:rFonts w:asciiTheme="minorHAnsi" w:hAnsiTheme="minorHAnsi" w:cstheme="minorHAnsi"/>
          <w:bCs/>
          <w:sz w:val="24"/>
        </w:rPr>
        <w:t xml:space="preserve"> </w:t>
      </w:r>
      <w:r w:rsidR="00AD0F99" w:rsidRPr="00CE378F">
        <w:rPr>
          <w:rFonts w:asciiTheme="minorHAnsi" w:hAnsiTheme="minorHAnsi" w:cstheme="minorHAnsi"/>
          <w:bCs/>
          <w:sz w:val="24"/>
        </w:rPr>
        <w:t>energy generation, where</w:t>
      </w:r>
      <w:r w:rsidR="00D849AF" w:rsidRPr="00CE378F">
        <w:rPr>
          <w:rFonts w:asciiTheme="minorHAnsi" w:hAnsiTheme="minorHAnsi" w:cstheme="minorHAnsi"/>
          <w:bCs/>
          <w:sz w:val="24"/>
        </w:rPr>
        <w:t xml:space="preserve"> projects</w:t>
      </w:r>
      <w:r w:rsidR="00AD0F99" w:rsidRPr="00CE378F">
        <w:rPr>
          <w:rFonts w:asciiTheme="minorHAnsi" w:hAnsiTheme="minorHAnsi" w:cstheme="minorHAnsi"/>
          <w:bCs/>
          <w:sz w:val="24"/>
        </w:rPr>
        <w:t xml:space="preserve"> </w:t>
      </w:r>
      <w:r w:rsidR="00857977" w:rsidRPr="00CE378F">
        <w:rPr>
          <w:rFonts w:asciiTheme="minorHAnsi" w:hAnsiTheme="minorHAnsi" w:cstheme="minorHAnsi"/>
          <w:bCs/>
          <w:sz w:val="24"/>
        </w:rPr>
        <w:t xml:space="preserve">are often dependent on high-interest </w:t>
      </w:r>
      <w:r w:rsidR="00BB6F19" w:rsidRPr="00CE378F">
        <w:rPr>
          <w:rFonts w:asciiTheme="minorHAnsi" w:hAnsiTheme="minorHAnsi" w:cstheme="minorHAnsi"/>
          <w:bCs/>
          <w:sz w:val="24"/>
        </w:rPr>
        <w:t xml:space="preserve">financing </w:t>
      </w:r>
      <w:r w:rsidR="00D849AF" w:rsidRPr="00CE378F">
        <w:rPr>
          <w:rFonts w:asciiTheme="minorHAnsi" w:hAnsiTheme="minorHAnsi" w:cstheme="minorHAnsi"/>
          <w:bCs/>
          <w:sz w:val="24"/>
        </w:rPr>
        <w:t>and</w:t>
      </w:r>
      <w:r w:rsidR="00857977" w:rsidRPr="00CE378F">
        <w:rPr>
          <w:rFonts w:asciiTheme="minorHAnsi" w:hAnsiTheme="minorHAnsi" w:cstheme="minorHAnsi"/>
          <w:bCs/>
          <w:sz w:val="24"/>
        </w:rPr>
        <w:t xml:space="preserve"> it</w:t>
      </w:r>
      <w:r w:rsidR="00AD0F99" w:rsidRPr="00CE378F">
        <w:rPr>
          <w:rFonts w:asciiTheme="minorHAnsi" w:hAnsiTheme="minorHAnsi" w:cstheme="minorHAnsi"/>
          <w:bCs/>
          <w:sz w:val="24"/>
        </w:rPr>
        <w:t xml:space="preserve"> is harder for investors to see as quick a return as compared to fossil fuel-based generation, for which much of the processing and transportation infrastructure was built decades ago. Constructing the same level of critical infrastructure for renewable energy sources w</w:t>
      </w:r>
      <w:r w:rsidR="000368ED" w:rsidRPr="00CE378F">
        <w:rPr>
          <w:rFonts w:asciiTheme="minorHAnsi" w:hAnsiTheme="minorHAnsi" w:cstheme="minorHAnsi"/>
          <w:bCs/>
          <w:sz w:val="24"/>
        </w:rPr>
        <w:t>ill take time and investment. Given that,</w:t>
      </w:r>
      <w:r w:rsidR="00AD0F99" w:rsidRPr="00CE378F">
        <w:rPr>
          <w:rFonts w:asciiTheme="minorHAnsi" w:hAnsiTheme="minorHAnsi" w:cstheme="minorHAnsi"/>
          <w:bCs/>
          <w:sz w:val="24"/>
        </w:rPr>
        <w:t xml:space="preserve"> the </w:t>
      </w:r>
      <w:r w:rsidR="004C4A6A" w:rsidRPr="00CE378F">
        <w:rPr>
          <w:rFonts w:asciiTheme="minorHAnsi" w:hAnsiTheme="minorHAnsi" w:cstheme="minorHAnsi"/>
          <w:bCs/>
          <w:i/>
          <w:iCs/>
          <w:sz w:val="24"/>
        </w:rPr>
        <w:t>Financing Our Energy Future Act</w:t>
      </w:r>
      <w:r w:rsidR="004C4A6A" w:rsidRPr="00CE378F">
        <w:rPr>
          <w:rFonts w:asciiTheme="minorHAnsi" w:hAnsiTheme="minorHAnsi" w:cstheme="minorHAnsi"/>
          <w:bCs/>
          <w:sz w:val="24"/>
        </w:rPr>
        <w:t xml:space="preserve"> </w:t>
      </w:r>
      <w:r w:rsidR="00AD0F99" w:rsidRPr="00CE378F">
        <w:rPr>
          <w:rFonts w:asciiTheme="minorHAnsi" w:hAnsiTheme="minorHAnsi" w:cstheme="minorHAnsi"/>
          <w:bCs/>
          <w:sz w:val="24"/>
        </w:rPr>
        <w:t xml:space="preserve">levels the playing field and helps address that problem. </w:t>
      </w:r>
    </w:p>
    <w:p w14:paraId="29358CCB" w14:textId="1269E781" w:rsidR="00D065E7" w:rsidRDefault="00D065E7" w:rsidP="00401334">
      <w:pPr>
        <w:rPr>
          <w:rFonts w:asciiTheme="minorHAnsi" w:hAnsiTheme="minorHAnsi" w:cstheme="minorHAnsi"/>
          <w:b/>
          <w:bCs/>
          <w:sz w:val="28"/>
          <w:szCs w:val="28"/>
        </w:rPr>
      </w:pPr>
    </w:p>
    <w:p w14:paraId="03E2E9FA" w14:textId="77777777" w:rsidR="00D065E7" w:rsidRDefault="00D065E7" w:rsidP="00401334">
      <w:pPr>
        <w:rPr>
          <w:rFonts w:asciiTheme="minorHAnsi" w:hAnsiTheme="minorHAnsi" w:cstheme="minorHAnsi"/>
          <w:b/>
          <w:bCs/>
          <w:sz w:val="28"/>
          <w:szCs w:val="28"/>
        </w:rPr>
      </w:pPr>
    </w:p>
    <w:p w14:paraId="5F269B86" w14:textId="5234E0DF" w:rsidR="00401334" w:rsidRPr="00CE378F" w:rsidRDefault="00401334" w:rsidP="00401334">
      <w:pPr>
        <w:rPr>
          <w:rFonts w:asciiTheme="minorHAnsi" w:hAnsiTheme="minorHAnsi" w:cstheme="minorHAnsi"/>
          <w:b/>
          <w:bCs/>
          <w:sz w:val="28"/>
          <w:szCs w:val="28"/>
        </w:rPr>
      </w:pPr>
      <w:r w:rsidRPr="00CE378F">
        <w:rPr>
          <w:rFonts w:asciiTheme="minorHAnsi" w:hAnsiTheme="minorHAnsi" w:cstheme="minorHAnsi"/>
          <w:b/>
          <w:bCs/>
          <w:sz w:val="28"/>
          <w:szCs w:val="28"/>
        </w:rPr>
        <w:lastRenderedPageBreak/>
        <w:t xml:space="preserve">How the </w:t>
      </w:r>
      <w:r w:rsidR="004C4A6A" w:rsidRPr="00CE378F">
        <w:rPr>
          <w:rFonts w:asciiTheme="minorHAnsi" w:hAnsiTheme="minorHAnsi" w:cstheme="minorHAnsi"/>
          <w:b/>
          <w:bCs/>
          <w:i/>
          <w:sz w:val="28"/>
          <w:szCs w:val="28"/>
        </w:rPr>
        <w:t>Financing Our Energy Future</w:t>
      </w:r>
      <w:r w:rsidRPr="00CE378F">
        <w:rPr>
          <w:rFonts w:asciiTheme="minorHAnsi" w:hAnsiTheme="minorHAnsi" w:cstheme="minorHAnsi"/>
          <w:b/>
          <w:bCs/>
          <w:i/>
          <w:sz w:val="28"/>
          <w:szCs w:val="28"/>
        </w:rPr>
        <w:t xml:space="preserve"> Act</w:t>
      </w:r>
      <w:r w:rsidRPr="00CE378F">
        <w:rPr>
          <w:rFonts w:asciiTheme="minorHAnsi" w:hAnsiTheme="minorHAnsi" w:cstheme="minorHAnsi"/>
          <w:b/>
          <w:bCs/>
          <w:sz w:val="28"/>
          <w:szCs w:val="28"/>
        </w:rPr>
        <w:t xml:space="preserve"> helps</w:t>
      </w:r>
    </w:p>
    <w:p w14:paraId="73CCAB3B" w14:textId="23298AED" w:rsidR="007D269D" w:rsidRDefault="00D065E7" w:rsidP="00AD0F99">
      <w:pPr>
        <w:rPr>
          <w:rFonts w:asciiTheme="minorHAnsi" w:hAnsiTheme="minorHAnsi" w:cstheme="minorHAnsi"/>
          <w:bCs/>
          <w:sz w:val="24"/>
        </w:rPr>
      </w:pPr>
      <w:r w:rsidRPr="00CE378F">
        <w:rPr>
          <w:rFonts w:asciiTheme="minorHAnsi" w:hAnsiTheme="minorHAnsi" w:cstheme="minorHAnsi"/>
          <w:noProof/>
          <w:sz w:val="24"/>
        </w:rPr>
        <w:drawing>
          <wp:anchor distT="0" distB="91440" distL="114300" distR="114300" simplePos="0" relativeHeight="251658240" behindDoc="0" locked="0" layoutInCell="1" allowOverlap="1" wp14:anchorId="01630EDA" wp14:editId="63E03512">
            <wp:simplePos x="0" y="0"/>
            <wp:positionH relativeFrom="margin">
              <wp:posOffset>0</wp:posOffset>
            </wp:positionH>
            <wp:positionV relativeFrom="paragraph">
              <wp:posOffset>97155</wp:posOffset>
            </wp:positionV>
            <wp:extent cx="3502025" cy="2286000"/>
            <wp:effectExtent l="19050" t="19050" r="22225" b="1905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02025" cy="2286000"/>
                    </a:xfrm>
                    <a:prstGeom prst="rect">
                      <a:avLst/>
                    </a:prstGeom>
                    <a:noFill/>
                    <a:ln>
                      <a:solidFill>
                        <a:schemeClr val="bg1">
                          <a:lumMod val="75000"/>
                        </a:schemeClr>
                      </a:solidFill>
                    </a:ln>
                  </pic:spPr>
                </pic:pic>
              </a:graphicData>
            </a:graphic>
            <wp14:sizeRelH relativeFrom="page">
              <wp14:pctWidth>0</wp14:pctWidth>
            </wp14:sizeRelH>
            <wp14:sizeRelV relativeFrom="page">
              <wp14:pctHeight>0</wp14:pctHeight>
            </wp14:sizeRelV>
          </wp:anchor>
        </w:drawing>
      </w:r>
      <w:r w:rsidR="000368ED" w:rsidRPr="00CE378F">
        <w:rPr>
          <w:rFonts w:asciiTheme="minorHAnsi" w:hAnsiTheme="minorHAnsi" w:cstheme="minorHAnsi"/>
          <w:bCs/>
          <w:sz w:val="24"/>
        </w:rPr>
        <w:t>Currently, a</w:t>
      </w:r>
      <w:r w:rsidR="00AD0F99" w:rsidRPr="00CE378F">
        <w:rPr>
          <w:rFonts w:asciiTheme="minorHAnsi" w:hAnsiTheme="minorHAnsi" w:cstheme="minorHAnsi"/>
          <w:bCs/>
          <w:sz w:val="24"/>
        </w:rPr>
        <w:t xml:space="preserve">n MLP must generate at least 90 percent of its income from qualified sources, such as real estate or natural resources, including crude oil, natural gas, petroleum products, coal, timber, and other minerals. </w:t>
      </w:r>
    </w:p>
    <w:p w14:paraId="40920AAD" w14:textId="35D27DF0" w:rsidR="00F95270" w:rsidRPr="00CE378F" w:rsidRDefault="00F95270" w:rsidP="00AD0F99">
      <w:pPr>
        <w:rPr>
          <w:rFonts w:asciiTheme="minorHAnsi" w:hAnsiTheme="minorHAnsi" w:cstheme="minorHAnsi"/>
          <w:bCs/>
          <w:sz w:val="24"/>
        </w:rPr>
      </w:pPr>
    </w:p>
    <w:p w14:paraId="5DB6978F" w14:textId="673628DE" w:rsidR="007D269D" w:rsidRDefault="00AD0F99" w:rsidP="007D269D">
      <w:pPr>
        <w:rPr>
          <w:rFonts w:asciiTheme="minorHAnsi" w:hAnsiTheme="minorHAnsi" w:cstheme="minorHAnsi"/>
          <w:bCs/>
          <w:sz w:val="24"/>
        </w:rPr>
      </w:pPr>
      <w:r w:rsidRPr="00CE378F">
        <w:rPr>
          <w:rFonts w:asciiTheme="minorHAnsi" w:hAnsiTheme="minorHAnsi" w:cstheme="minorHAnsi"/>
          <w:bCs/>
          <w:sz w:val="24"/>
        </w:rPr>
        <w:t xml:space="preserve">The </w:t>
      </w:r>
      <w:r w:rsidR="004C4A6A" w:rsidRPr="00CE378F">
        <w:rPr>
          <w:rFonts w:asciiTheme="minorHAnsi" w:hAnsiTheme="minorHAnsi" w:cstheme="minorHAnsi"/>
          <w:bCs/>
          <w:i/>
          <w:iCs/>
          <w:sz w:val="24"/>
        </w:rPr>
        <w:t>Financing Our Energy Future</w:t>
      </w:r>
      <w:r w:rsidRPr="00CE378F">
        <w:rPr>
          <w:rFonts w:asciiTheme="minorHAnsi" w:hAnsiTheme="minorHAnsi" w:cstheme="minorHAnsi"/>
          <w:bCs/>
          <w:i/>
          <w:iCs/>
          <w:sz w:val="24"/>
        </w:rPr>
        <w:t xml:space="preserve"> Act</w:t>
      </w:r>
      <w:r w:rsidRPr="00CE378F">
        <w:rPr>
          <w:rFonts w:asciiTheme="minorHAnsi" w:hAnsiTheme="minorHAnsi" w:cstheme="minorHAnsi"/>
          <w:bCs/>
          <w:sz w:val="24"/>
        </w:rPr>
        <w:t xml:space="preserve"> simply expands the definition of “qualified” to include clean energy resources and infrastructure projects. Specifically included are those energy technologies that qualify under Sections 45 and 48 of the tax </w:t>
      </w:r>
      <w:proofErr w:type="gramStart"/>
      <w:r w:rsidRPr="00CE378F">
        <w:rPr>
          <w:rFonts w:asciiTheme="minorHAnsi" w:hAnsiTheme="minorHAnsi" w:cstheme="minorHAnsi"/>
          <w:bCs/>
          <w:sz w:val="24"/>
        </w:rPr>
        <w:t>code</w:t>
      </w:r>
      <w:proofErr w:type="gramEnd"/>
      <w:r w:rsidRPr="00CE378F">
        <w:rPr>
          <w:rFonts w:asciiTheme="minorHAnsi" w:hAnsiTheme="minorHAnsi" w:cstheme="minorHAnsi"/>
          <w:bCs/>
          <w:sz w:val="24"/>
        </w:rPr>
        <w:t>, including wind</w:t>
      </w:r>
      <w:r w:rsidR="00D12E58" w:rsidRPr="00CE378F">
        <w:rPr>
          <w:rFonts w:asciiTheme="minorHAnsi" w:hAnsiTheme="minorHAnsi" w:cstheme="minorHAnsi"/>
          <w:bCs/>
          <w:sz w:val="24"/>
        </w:rPr>
        <w:t>, closed and open loop biomass</w:t>
      </w:r>
      <w:r w:rsidRPr="00CE378F">
        <w:rPr>
          <w:rFonts w:asciiTheme="minorHAnsi" w:hAnsiTheme="minorHAnsi" w:cstheme="minorHAnsi"/>
          <w:bCs/>
          <w:sz w:val="24"/>
        </w:rPr>
        <w:t>, solar, municipal solid waste, hydropower, marin</w:t>
      </w:r>
      <w:r w:rsidR="00D12E58" w:rsidRPr="00CE378F">
        <w:rPr>
          <w:rFonts w:asciiTheme="minorHAnsi" w:hAnsiTheme="minorHAnsi" w:cstheme="minorHAnsi"/>
          <w:bCs/>
          <w:sz w:val="24"/>
        </w:rPr>
        <w:t>e and hydrokinetic</w:t>
      </w:r>
      <w:r w:rsidR="00B36EFC">
        <w:rPr>
          <w:rFonts w:asciiTheme="minorHAnsi" w:hAnsiTheme="minorHAnsi" w:cstheme="minorHAnsi"/>
          <w:bCs/>
          <w:sz w:val="24"/>
        </w:rPr>
        <w:t xml:space="preserve"> power</w:t>
      </w:r>
      <w:r w:rsidR="00D12E58" w:rsidRPr="00CE378F">
        <w:rPr>
          <w:rFonts w:asciiTheme="minorHAnsi" w:hAnsiTheme="minorHAnsi" w:cstheme="minorHAnsi"/>
          <w:bCs/>
          <w:sz w:val="24"/>
        </w:rPr>
        <w:t xml:space="preserve">, fuel cells, </w:t>
      </w:r>
      <w:r w:rsidR="00F72265" w:rsidRPr="00CE378F">
        <w:rPr>
          <w:rFonts w:asciiTheme="minorHAnsi" w:hAnsiTheme="minorHAnsi" w:cstheme="minorHAnsi"/>
          <w:bCs/>
          <w:sz w:val="24"/>
        </w:rPr>
        <w:t xml:space="preserve">and </w:t>
      </w:r>
      <w:r w:rsidRPr="00CE378F">
        <w:rPr>
          <w:rFonts w:asciiTheme="minorHAnsi" w:hAnsiTheme="minorHAnsi" w:cstheme="minorHAnsi"/>
          <w:bCs/>
          <w:sz w:val="24"/>
        </w:rPr>
        <w:t>combined heat and power</w:t>
      </w:r>
      <w:r w:rsidR="00F72265" w:rsidRPr="00CE378F">
        <w:rPr>
          <w:rFonts w:asciiTheme="minorHAnsi" w:hAnsiTheme="minorHAnsi" w:cstheme="minorHAnsi"/>
          <w:bCs/>
          <w:sz w:val="24"/>
        </w:rPr>
        <w:t xml:space="preserve">. </w:t>
      </w:r>
      <w:r w:rsidR="00401334" w:rsidRPr="00CE378F">
        <w:rPr>
          <w:rFonts w:asciiTheme="minorHAnsi" w:hAnsiTheme="minorHAnsi" w:cstheme="minorHAnsi"/>
          <w:bCs/>
          <w:sz w:val="24"/>
        </w:rPr>
        <w:t xml:space="preserve">The legislation </w:t>
      </w:r>
      <w:r w:rsidR="00F72265" w:rsidRPr="00CE378F">
        <w:rPr>
          <w:rFonts w:asciiTheme="minorHAnsi" w:hAnsiTheme="minorHAnsi" w:cstheme="minorHAnsi"/>
          <w:bCs/>
          <w:sz w:val="24"/>
        </w:rPr>
        <w:t>also includes waste-heat-to-</w:t>
      </w:r>
      <w:r w:rsidR="00D12E58" w:rsidRPr="00CE378F">
        <w:rPr>
          <w:rFonts w:asciiTheme="minorHAnsi" w:hAnsiTheme="minorHAnsi" w:cstheme="minorHAnsi"/>
          <w:bCs/>
          <w:sz w:val="24"/>
        </w:rPr>
        <w:t>pow</w:t>
      </w:r>
      <w:r w:rsidR="00A47C3F" w:rsidRPr="00CE378F">
        <w:rPr>
          <w:rFonts w:asciiTheme="minorHAnsi" w:hAnsiTheme="minorHAnsi" w:cstheme="minorHAnsi"/>
          <w:bCs/>
          <w:sz w:val="24"/>
        </w:rPr>
        <w:t>er;</w:t>
      </w:r>
      <w:r w:rsidR="00F72265" w:rsidRPr="00CE378F">
        <w:rPr>
          <w:rFonts w:asciiTheme="minorHAnsi" w:hAnsiTheme="minorHAnsi" w:cstheme="minorHAnsi"/>
          <w:bCs/>
          <w:sz w:val="24"/>
        </w:rPr>
        <w:t xml:space="preserve"> </w:t>
      </w:r>
      <w:r w:rsidR="00401334" w:rsidRPr="00CE378F">
        <w:rPr>
          <w:rFonts w:asciiTheme="minorHAnsi" w:hAnsiTheme="minorHAnsi" w:cstheme="minorHAnsi"/>
          <w:bCs/>
          <w:sz w:val="24"/>
        </w:rPr>
        <w:t>energy storage</w:t>
      </w:r>
      <w:r w:rsidR="00A47C3F" w:rsidRPr="00CE378F">
        <w:rPr>
          <w:rFonts w:asciiTheme="minorHAnsi" w:hAnsiTheme="minorHAnsi" w:cstheme="minorHAnsi"/>
          <w:bCs/>
          <w:sz w:val="24"/>
        </w:rPr>
        <w:t>;</w:t>
      </w:r>
      <w:r w:rsidR="00401334" w:rsidRPr="00CE378F">
        <w:rPr>
          <w:rFonts w:asciiTheme="minorHAnsi" w:hAnsiTheme="minorHAnsi" w:cstheme="minorHAnsi"/>
          <w:bCs/>
          <w:sz w:val="24"/>
        </w:rPr>
        <w:t xml:space="preserve"> </w:t>
      </w:r>
      <w:r w:rsidR="00F72265" w:rsidRPr="00CE378F">
        <w:rPr>
          <w:rFonts w:asciiTheme="minorHAnsi" w:hAnsiTheme="minorHAnsi" w:cstheme="minorHAnsi"/>
          <w:bCs/>
          <w:sz w:val="24"/>
        </w:rPr>
        <w:t>carbon capture</w:t>
      </w:r>
      <w:r w:rsidR="00A47C3F" w:rsidRPr="00CE378F">
        <w:rPr>
          <w:rFonts w:asciiTheme="minorHAnsi" w:hAnsiTheme="minorHAnsi" w:cstheme="minorHAnsi"/>
          <w:bCs/>
          <w:sz w:val="24"/>
        </w:rPr>
        <w:t>,</w:t>
      </w:r>
      <w:r w:rsidR="00F72265" w:rsidRPr="00CE378F">
        <w:rPr>
          <w:rFonts w:asciiTheme="minorHAnsi" w:hAnsiTheme="minorHAnsi" w:cstheme="minorHAnsi"/>
          <w:bCs/>
          <w:sz w:val="24"/>
        </w:rPr>
        <w:t xml:space="preserve"> </w:t>
      </w:r>
      <w:r w:rsidR="00401334" w:rsidRPr="00CE378F">
        <w:rPr>
          <w:rFonts w:asciiTheme="minorHAnsi" w:hAnsiTheme="minorHAnsi" w:cstheme="minorHAnsi"/>
          <w:bCs/>
          <w:sz w:val="24"/>
        </w:rPr>
        <w:t>utilization</w:t>
      </w:r>
      <w:r w:rsidR="00A47C3F" w:rsidRPr="00CE378F">
        <w:rPr>
          <w:rFonts w:asciiTheme="minorHAnsi" w:hAnsiTheme="minorHAnsi" w:cstheme="minorHAnsi"/>
          <w:bCs/>
          <w:sz w:val="24"/>
        </w:rPr>
        <w:t>,</w:t>
      </w:r>
      <w:r w:rsidR="00401334" w:rsidRPr="00CE378F">
        <w:rPr>
          <w:rFonts w:asciiTheme="minorHAnsi" w:hAnsiTheme="minorHAnsi" w:cstheme="minorHAnsi"/>
          <w:bCs/>
          <w:sz w:val="24"/>
        </w:rPr>
        <w:t xml:space="preserve"> </w:t>
      </w:r>
      <w:r w:rsidR="00F72265" w:rsidRPr="00CE378F">
        <w:rPr>
          <w:rFonts w:asciiTheme="minorHAnsi" w:hAnsiTheme="minorHAnsi" w:cstheme="minorHAnsi"/>
          <w:bCs/>
          <w:sz w:val="24"/>
        </w:rPr>
        <w:t>and storage</w:t>
      </w:r>
      <w:r w:rsidR="00A47C3F" w:rsidRPr="00CE378F">
        <w:rPr>
          <w:rFonts w:asciiTheme="minorHAnsi" w:hAnsiTheme="minorHAnsi" w:cstheme="minorHAnsi"/>
          <w:bCs/>
          <w:sz w:val="24"/>
        </w:rPr>
        <w:t>;</w:t>
      </w:r>
      <w:r w:rsidR="00D12E58" w:rsidRPr="00CE378F">
        <w:rPr>
          <w:rFonts w:asciiTheme="minorHAnsi" w:hAnsiTheme="minorHAnsi" w:cstheme="minorHAnsi"/>
          <w:bCs/>
          <w:sz w:val="24"/>
        </w:rPr>
        <w:t xml:space="preserve"> </w:t>
      </w:r>
      <w:r w:rsidR="00B36EFC">
        <w:rPr>
          <w:rFonts w:asciiTheme="minorHAnsi" w:hAnsiTheme="minorHAnsi" w:cstheme="minorHAnsi"/>
          <w:bCs/>
          <w:sz w:val="24"/>
        </w:rPr>
        <w:t xml:space="preserve">renewable </w:t>
      </w:r>
      <w:r w:rsidR="00A47C3F" w:rsidRPr="00CE378F">
        <w:rPr>
          <w:rFonts w:asciiTheme="minorHAnsi" w:hAnsiTheme="minorHAnsi" w:cstheme="minorHAnsi"/>
          <w:bCs/>
          <w:sz w:val="24"/>
        </w:rPr>
        <w:t>chemical</w:t>
      </w:r>
      <w:r w:rsidR="00B36EFC">
        <w:rPr>
          <w:rFonts w:asciiTheme="minorHAnsi" w:hAnsiTheme="minorHAnsi" w:cstheme="minorHAnsi"/>
          <w:bCs/>
          <w:sz w:val="24"/>
        </w:rPr>
        <w:t>s</w:t>
      </w:r>
      <w:r w:rsidR="00A47C3F" w:rsidRPr="00CE378F">
        <w:rPr>
          <w:rFonts w:asciiTheme="minorHAnsi" w:hAnsiTheme="minorHAnsi" w:cstheme="minorHAnsi"/>
          <w:bCs/>
          <w:sz w:val="24"/>
        </w:rPr>
        <w:t>;</w:t>
      </w:r>
      <w:r w:rsidR="00F72265" w:rsidRPr="00CE378F">
        <w:rPr>
          <w:rFonts w:asciiTheme="minorHAnsi" w:hAnsiTheme="minorHAnsi" w:cstheme="minorHAnsi"/>
          <w:bCs/>
          <w:sz w:val="24"/>
        </w:rPr>
        <w:t xml:space="preserve"> and energy-efficient buildings. </w:t>
      </w:r>
      <w:r w:rsidR="00B36EFC">
        <w:rPr>
          <w:rFonts w:asciiTheme="minorHAnsi" w:hAnsiTheme="minorHAnsi" w:cstheme="minorHAnsi"/>
          <w:bCs/>
          <w:sz w:val="24"/>
        </w:rPr>
        <w:t>Finally, t</w:t>
      </w:r>
      <w:r w:rsidRPr="00CE378F">
        <w:rPr>
          <w:rFonts w:asciiTheme="minorHAnsi" w:hAnsiTheme="minorHAnsi" w:cstheme="minorHAnsi"/>
          <w:bCs/>
          <w:sz w:val="24"/>
        </w:rPr>
        <w:t xml:space="preserve">he legislation allows for a range of transportation fuels to qualify, including cellulosic, biodiesel, and algae-based fuels. </w:t>
      </w:r>
    </w:p>
    <w:p w14:paraId="23CAADD5" w14:textId="317B8E69" w:rsidR="00B36EFC" w:rsidRDefault="00B36EFC" w:rsidP="007D269D">
      <w:pPr>
        <w:rPr>
          <w:rFonts w:asciiTheme="minorHAnsi" w:hAnsiTheme="minorHAnsi" w:cstheme="minorHAnsi"/>
          <w:bCs/>
          <w:sz w:val="24"/>
        </w:rPr>
      </w:pPr>
    </w:p>
    <w:p w14:paraId="6C13174D" w14:textId="6F5D3F4C" w:rsidR="00B36EFC" w:rsidRPr="00B36EFC" w:rsidRDefault="00B36EFC" w:rsidP="007D269D">
      <w:pPr>
        <w:rPr>
          <w:rFonts w:asciiTheme="minorHAnsi" w:eastAsia="Times New Roman" w:hAnsiTheme="minorHAnsi" w:cstheme="minorHAnsi"/>
          <w:sz w:val="24"/>
        </w:rPr>
      </w:pPr>
      <w:r w:rsidRPr="00CE378F">
        <w:rPr>
          <w:rFonts w:asciiTheme="minorHAnsi" w:eastAsia="Times New Roman" w:hAnsiTheme="minorHAnsi" w:cstheme="minorHAnsi"/>
          <w:iCs/>
          <w:sz w:val="24"/>
        </w:rPr>
        <w:t xml:space="preserve">The Master Limited Partnership Association estimates there are </w:t>
      </w:r>
      <w:r w:rsidRPr="00CE378F">
        <w:rPr>
          <w:rFonts w:asciiTheme="minorHAnsi" w:eastAsia="Times New Roman" w:hAnsiTheme="minorHAnsi" w:cstheme="minorHAnsi"/>
          <w:bCs/>
          <w:iCs/>
          <w:sz w:val="24"/>
        </w:rPr>
        <w:t>approximately 125</w:t>
      </w:r>
      <w:r w:rsidRPr="00CE378F">
        <w:rPr>
          <w:rFonts w:asciiTheme="minorHAnsi" w:eastAsia="Times New Roman" w:hAnsiTheme="minorHAnsi" w:cstheme="minorHAnsi"/>
          <w:iCs/>
          <w:sz w:val="24"/>
        </w:rPr>
        <w:t xml:space="preserve"> MLPs currently being traded on major exchanges primarily focused on energy-related industries and natural resources. Of the estimated </w:t>
      </w:r>
      <w:r w:rsidRPr="00CE378F">
        <w:rPr>
          <w:rFonts w:asciiTheme="minorHAnsi" w:eastAsia="Times New Roman" w:hAnsiTheme="minorHAnsi" w:cstheme="minorHAnsi"/>
          <w:bCs/>
          <w:iCs/>
          <w:sz w:val="24"/>
        </w:rPr>
        <w:t>$460 billion</w:t>
      </w:r>
      <w:r w:rsidRPr="00CE378F">
        <w:rPr>
          <w:rFonts w:asciiTheme="minorHAnsi" w:eastAsia="Times New Roman" w:hAnsiTheme="minorHAnsi" w:cstheme="minorHAnsi"/>
          <w:iCs/>
          <w:sz w:val="24"/>
        </w:rPr>
        <w:t xml:space="preserve"> in MLP capital currently in the market, </w:t>
      </w:r>
      <w:r w:rsidRPr="00CE378F">
        <w:rPr>
          <w:rFonts w:asciiTheme="minorHAnsi" w:eastAsia="Times New Roman" w:hAnsiTheme="minorHAnsi" w:cstheme="minorHAnsi"/>
          <w:bCs/>
          <w:iCs/>
          <w:sz w:val="24"/>
        </w:rPr>
        <w:t>approximately $370 billion (or about 80 percent) is from businesses involved in qualifying energy and natural resource activities</w:t>
      </w:r>
      <w:r w:rsidRPr="00CE378F">
        <w:rPr>
          <w:rFonts w:asciiTheme="minorHAnsi" w:eastAsia="Times New Roman" w:hAnsiTheme="minorHAnsi" w:cstheme="minorHAnsi"/>
          <w:iCs/>
          <w:sz w:val="24"/>
        </w:rPr>
        <w:t xml:space="preserve">. Of that, </w:t>
      </w:r>
      <w:r w:rsidRPr="00CE378F">
        <w:rPr>
          <w:rFonts w:asciiTheme="minorHAnsi" w:eastAsia="Times New Roman" w:hAnsiTheme="minorHAnsi" w:cstheme="minorHAnsi"/>
          <w:bCs/>
          <w:iCs/>
          <w:sz w:val="24"/>
        </w:rPr>
        <w:t>approximately 90 percent relates to energy midstream and infrastructure</w:t>
      </w:r>
      <w:r w:rsidRPr="00CE378F">
        <w:rPr>
          <w:rFonts w:asciiTheme="minorHAnsi" w:eastAsia="Times New Roman" w:hAnsiTheme="minorHAnsi" w:cstheme="minorHAnsi"/>
          <w:iCs/>
          <w:sz w:val="24"/>
        </w:rPr>
        <w:t>.</w:t>
      </w:r>
    </w:p>
    <w:p w14:paraId="1A05D9C7" w14:textId="77777777" w:rsidR="007D269D" w:rsidRDefault="007D269D" w:rsidP="007D269D">
      <w:pPr>
        <w:rPr>
          <w:rFonts w:asciiTheme="minorHAnsi" w:hAnsiTheme="minorHAnsi" w:cstheme="minorHAnsi"/>
          <w:bCs/>
          <w:sz w:val="24"/>
        </w:rPr>
      </w:pPr>
    </w:p>
    <w:p w14:paraId="7C3718F3" w14:textId="524077D5" w:rsidR="00AD0F99" w:rsidRDefault="007D269D" w:rsidP="00AD0F99">
      <w:pPr>
        <w:rPr>
          <w:rFonts w:asciiTheme="minorHAnsi" w:hAnsiTheme="minorHAnsi" w:cstheme="minorHAnsi"/>
          <w:bCs/>
          <w:sz w:val="24"/>
        </w:rPr>
      </w:pPr>
      <w:r w:rsidRPr="00CE378F">
        <w:rPr>
          <w:rFonts w:asciiTheme="minorHAnsi" w:hAnsiTheme="minorHAnsi" w:cstheme="minorHAnsi"/>
          <w:bCs/>
          <w:sz w:val="24"/>
        </w:rPr>
        <w:t>The legislation is a powerful tweak to the federal tax code that could unleash significant private capital into the energy market. It would level the playing field between traditional and new energy businesses by helping energy projects form MLPs, which combine the funding advantages of corporations and the tax advantages of partnerships.</w:t>
      </w:r>
    </w:p>
    <w:p w14:paraId="0E420E02" w14:textId="77777777" w:rsidR="00B36EFC" w:rsidRPr="00CE378F" w:rsidRDefault="00B36EFC" w:rsidP="00AD0F99">
      <w:pPr>
        <w:rPr>
          <w:rFonts w:asciiTheme="minorHAnsi" w:hAnsiTheme="minorHAnsi" w:cstheme="minorHAnsi"/>
          <w:bCs/>
          <w:sz w:val="24"/>
        </w:rPr>
      </w:pPr>
    </w:p>
    <w:p w14:paraId="2BBB718B" w14:textId="77777777" w:rsidR="00214E5C" w:rsidRPr="00CE378F" w:rsidRDefault="00214E5C" w:rsidP="00AD0F99">
      <w:pPr>
        <w:rPr>
          <w:rFonts w:asciiTheme="minorHAnsi" w:hAnsiTheme="minorHAnsi" w:cstheme="minorHAnsi"/>
          <w:bCs/>
        </w:rPr>
      </w:pPr>
    </w:p>
    <w:tbl>
      <w:tblPr>
        <w:tblW w:w="0" w:type="auto"/>
        <w:tblLook w:val="04A0" w:firstRow="1" w:lastRow="0" w:firstColumn="1" w:lastColumn="0" w:noHBand="0" w:noVBand="1"/>
      </w:tblPr>
      <w:tblGrid>
        <w:gridCol w:w="4680"/>
        <w:gridCol w:w="4680"/>
      </w:tblGrid>
      <w:tr w:rsidR="001936DD" w:rsidRPr="00CE378F" w14:paraId="3825642F" w14:textId="77777777" w:rsidTr="001730B8">
        <w:trPr>
          <w:trHeight w:val="459"/>
        </w:trPr>
        <w:tc>
          <w:tcPr>
            <w:tcW w:w="4680" w:type="dxa"/>
            <w:shd w:val="clear" w:color="auto" w:fill="auto"/>
          </w:tcPr>
          <w:p w14:paraId="667ED847" w14:textId="77777777" w:rsidR="00730384" w:rsidRPr="00CE378F" w:rsidRDefault="00730384" w:rsidP="00D12E58">
            <w:pPr>
              <w:jc w:val="center"/>
              <w:rPr>
                <w:rFonts w:asciiTheme="minorHAnsi" w:hAnsiTheme="minorHAnsi" w:cstheme="minorHAnsi"/>
                <w:bCs/>
                <w:szCs w:val="22"/>
              </w:rPr>
            </w:pPr>
            <w:r w:rsidRPr="00CE378F">
              <w:rPr>
                <w:rFonts w:asciiTheme="minorHAnsi" w:hAnsiTheme="minorHAnsi" w:cstheme="minorHAnsi"/>
                <w:bCs/>
                <w:szCs w:val="22"/>
                <w:u w:val="single"/>
              </w:rPr>
              <w:t>IN THE SENATE</w:t>
            </w:r>
            <w:r w:rsidRPr="00CE378F">
              <w:rPr>
                <w:rFonts w:asciiTheme="minorHAnsi" w:hAnsiTheme="minorHAnsi" w:cstheme="minorHAnsi"/>
                <w:bCs/>
                <w:szCs w:val="22"/>
              </w:rPr>
              <w:t xml:space="preserve">: </w:t>
            </w:r>
          </w:p>
        </w:tc>
        <w:tc>
          <w:tcPr>
            <w:tcW w:w="4680" w:type="dxa"/>
            <w:shd w:val="clear" w:color="auto" w:fill="auto"/>
          </w:tcPr>
          <w:p w14:paraId="2B3C01FF" w14:textId="77777777" w:rsidR="001936DD" w:rsidRPr="00CE378F" w:rsidRDefault="00730384" w:rsidP="00D12E58">
            <w:pPr>
              <w:jc w:val="center"/>
              <w:rPr>
                <w:rFonts w:asciiTheme="minorHAnsi" w:hAnsiTheme="minorHAnsi" w:cstheme="minorHAnsi"/>
                <w:bCs/>
                <w:szCs w:val="22"/>
              </w:rPr>
            </w:pPr>
            <w:r w:rsidRPr="00CE378F">
              <w:rPr>
                <w:rFonts w:asciiTheme="minorHAnsi" w:hAnsiTheme="minorHAnsi" w:cstheme="minorHAnsi"/>
                <w:bCs/>
                <w:szCs w:val="22"/>
                <w:u w:val="single"/>
              </w:rPr>
              <w:t>IN THE HOUSE</w:t>
            </w:r>
            <w:r w:rsidRPr="00CE378F">
              <w:rPr>
                <w:rFonts w:asciiTheme="minorHAnsi" w:hAnsiTheme="minorHAnsi" w:cstheme="minorHAnsi"/>
                <w:bCs/>
                <w:szCs w:val="22"/>
              </w:rPr>
              <w:t xml:space="preserve">: </w:t>
            </w:r>
          </w:p>
        </w:tc>
      </w:tr>
      <w:tr w:rsidR="001213E6" w:rsidRPr="00CE378F" w14:paraId="5A5E3F38" w14:textId="77777777" w:rsidTr="001730B8">
        <w:tc>
          <w:tcPr>
            <w:tcW w:w="4680" w:type="dxa"/>
            <w:shd w:val="clear" w:color="auto" w:fill="auto"/>
          </w:tcPr>
          <w:p w14:paraId="593A673D" w14:textId="77777777" w:rsidR="001213E6" w:rsidRPr="00CE378F" w:rsidRDefault="00EE1B2A">
            <w:pPr>
              <w:jc w:val="center"/>
              <w:rPr>
                <w:rFonts w:asciiTheme="minorHAnsi" w:hAnsiTheme="minorHAnsi" w:cstheme="minorHAnsi"/>
                <w:b/>
                <w:bCs/>
                <w:szCs w:val="22"/>
              </w:rPr>
            </w:pPr>
            <w:r w:rsidRPr="00CE378F">
              <w:rPr>
                <w:rFonts w:asciiTheme="minorHAnsi" w:hAnsiTheme="minorHAnsi" w:cstheme="minorHAnsi"/>
                <w:b/>
                <w:bCs/>
                <w:szCs w:val="22"/>
              </w:rPr>
              <w:t>Senator Chris Coons (D-DE)</w:t>
            </w:r>
          </w:p>
          <w:p w14:paraId="3EDE6187" w14:textId="20A75958" w:rsidR="00EE1B2A" w:rsidRPr="00CE378F" w:rsidRDefault="00EE1B2A">
            <w:pPr>
              <w:jc w:val="center"/>
              <w:rPr>
                <w:rFonts w:asciiTheme="minorHAnsi" w:hAnsiTheme="minorHAnsi" w:cstheme="minorHAnsi"/>
                <w:bCs/>
                <w:szCs w:val="22"/>
              </w:rPr>
            </w:pPr>
            <w:r w:rsidRPr="00CE378F">
              <w:rPr>
                <w:rFonts w:asciiTheme="minorHAnsi" w:hAnsiTheme="minorHAnsi" w:cstheme="minorHAnsi"/>
                <w:bCs/>
                <w:szCs w:val="22"/>
              </w:rPr>
              <w:t xml:space="preserve">Contact: </w:t>
            </w:r>
            <w:r w:rsidR="00EC2941" w:rsidRPr="00CE378F">
              <w:rPr>
                <w:rFonts w:asciiTheme="minorHAnsi" w:hAnsiTheme="minorHAnsi" w:cstheme="minorHAnsi"/>
                <w:bCs/>
                <w:szCs w:val="22"/>
              </w:rPr>
              <w:t>David Brown</w:t>
            </w:r>
          </w:p>
          <w:p w14:paraId="44D0FA4F" w14:textId="7B379FFC" w:rsidR="00EE1B2A" w:rsidRPr="00CE378F" w:rsidRDefault="00EE1B2A">
            <w:pPr>
              <w:jc w:val="center"/>
              <w:rPr>
                <w:rFonts w:asciiTheme="minorHAnsi" w:hAnsiTheme="minorHAnsi" w:cstheme="minorHAnsi"/>
                <w:bCs/>
                <w:szCs w:val="22"/>
              </w:rPr>
            </w:pPr>
            <w:r w:rsidRPr="00CE378F">
              <w:rPr>
                <w:rFonts w:asciiTheme="minorHAnsi" w:hAnsiTheme="minorHAnsi" w:cstheme="minorHAnsi"/>
                <w:bCs/>
                <w:szCs w:val="22"/>
              </w:rPr>
              <w:t xml:space="preserve">202-224-5042 or </w:t>
            </w:r>
            <w:r w:rsidR="00EC2941" w:rsidRPr="00CE378F">
              <w:rPr>
                <w:rStyle w:val="Hyperlink"/>
                <w:rFonts w:asciiTheme="minorHAnsi" w:hAnsiTheme="minorHAnsi" w:cstheme="minorHAnsi"/>
                <w:bCs/>
                <w:szCs w:val="22"/>
              </w:rPr>
              <w:t>David_Brown@coons.senate.gov</w:t>
            </w:r>
          </w:p>
          <w:p w14:paraId="0706D5D8" w14:textId="7450595F" w:rsidR="000368ED" w:rsidRPr="00CE378F" w:rsidRDefault="000368ED">
            <w:pPr>
              <w:jc w:val="center"/>
              <w:rPr>
                <w:rFonts w:asciiTheme="minorHAnsi" w:hAnsiTheme="minorHAnsi" w:cstheme="minorHAnsi"/>
                <w:bCs/>
                <w:szCs w:val="22"/>
              </w:rPr>
            </w:pPr>
          </w:p>
        </w:tc>
        <w:tc>
          <w:tcPr>
            <w:tcW w:w="4680" w:type="dxa"/>
            <w:shd w:val="clear" w:color="auto" w:fill="auto"/>
          </w:tcPr>
          <w:p w14:paraId="2C46738C" w14:textId="1FCDAB44" w:rsidR="001213E6" w:rsidRPr="00CE378F" w:rsidRDefault="001213E6" w:rsidP="00403E65">
            <w:pPr>
              <w:jc w:val="center"/>
              <w:rPr>
                <w:rFonts w:asciiTheme="minorHAnsi" w:hAnsiTheme="minorHAnsi" w:cstheme="minorHAnsi"/>
                <w:b/>
                <w:bCs/>
                <w:szCs w:val="22"/>
              </w:rPr>
            </w:pPr>
            <w:r w:rsidRPr="00CE378F">
              <w:rPr>
                <w:rFonts w:asciiTheme="minorHAnsi" w:hAnsiTheme="minorHAnsi" w:cstheme="minorHAnsi"/>
                <w:b/>
                <w:bCs/>
                <w:szCs w:val="22"/>
              </w:rPr>
              <w:t>Rep.</w:t>
            </w:r>
            <w:r w:rsidR="00EC2941" w:rsidRPr="00CE378F">
              <w:rPr>
                <w:rFonts w:asciiTheme="minorHAnsi" w:hAnsiTheme="minorHAnsi" w:cstheme="minorHAnsi"/>
                <w:b/>
                <w:bCs/>
                <w:szCs w:val="22"/>
              </w:rPr>
              <w:t xml:space="preserve"> Mike Thompson (D-CA-05)</w:t>
            </w:r>
          </w:p>
          <w:p w14:paraId="25CB7E8E" w14:textId="2566B9B6" w:rsidR="001213E6" w:rsidRPr="00CE378F" w:rsidRDefault="001213E6" w:rsidP="00403E65">
            <w:pPr>
              <w:jc w:val="center"/>
              <w:rPr>
                <w:rFonts w:asciiTheme="minorHAnsi" w:hAnsiTheme="minorHAnsi" w:cstheme="minorHAnsi"/>
                <w:bCs/>
                <w:szCs w:val="22"/>
              </w:rPr>
            </w:pPr>
            <w:r w:rsidRPr="00CE378F">
              <w:rPr>
                <w:rFonts w:asciiTheme="minorHAnsi" w:hAnsiTheme="minorHAnsi" w:cstheme="minorHAnsi"/>
                <w:bCs/>
                <w:szCs w:val="22"/>
              </w:rPr>
              <w:t xml:space="preserve">Contact: </w:t>
            </w:r>
            <w:r w:rsidR="00CE378F">
              <w:rPr>
                <w:rFonts w:asciiTheme="minorHAnsi" w:hAnsiTheme="minorHAnsi" w:cstheme="minorHAnsi"/>
                <w:bCs/>
                <w:szCs w:val="22"/>
              </w:rPr>
              <w:t>Miriam Wheatley</w:t>
            </w:r>
          </w:p>
          <w:p w14:paraId="0AC2C603" w14:textId="6C35D54F" w:rsidR="001213E6" w:rsidRPr="00CE378F" w:rsidRDefault="001213E6" w:rsidP="00403E65">
            <w:pPr>
              <w:jc w:val="center"/>
              <w:rPr>
                <w:rFonts w:asciiTheme="minorHAnsi" w:hAnsiTheme="minorHAnsi" w:cstheme="minorHAnsi"/>
                <w:bCs/>
                <w:szCs w:val="22"/>
              </w:rPr>
            </w:pPr>
            <w:r w:rsidRPr="00CE378F">
              <w:rPr>
                <w:rFonts w:asciiTheme="minorHAnsi" w:hAnsiTheme="minorHAnsi" w:cstheme="minorHAnsi"/>
                <w:bCs/>
                <w:szCs w:val="22"/>
              </w:rPr>
              <w:t>202-225-</w:t>
            </w:r>
            <w:r w:rsidR="007D269D">
              <w:rPr>
                <w:rFonts w:asciiTheme="minorHAnsi" w:hAnsiTheme="minorHAnsi" w:cstheme="minorHAnsi"/>
                <w:bCs/>
                <w:szCs w:val="22"/>
              </w:rPr>
              <w:t>3311</w:t>
            </w:r>
            <w:r w:rsidRPr="00CE378F">
              <w:rPr>
                <w:rFonts w:asciiTheme="minorHAnsi" w:hAnsiTheme="minorHAnsi" w:cstheme="minorHAnsi"/>
                <w:bCs/>
                <w:szCs w:val="22"/>
              </w:rPr>
              <w:t xml:space="preserve"> or</w:t>
            </w:r>
            <w:r w:rsidR="00D12E58" w:rsidRPr="00CE378F">
              <w:rPr>
                <w:rFonts w:asciiTheme="minorHAnsi" w:hAnsiTheme="minorHAnsi" w:cstheme="minorHAnsi"/>
                <w:bCs/>
                <w:szCs w:val="22"/>
              </w:rPr>
              <w:t xml:space="preserve"> </w:t>
            </w:r>
            <w:hyperlink r:id="rId9" w:history="1">
              <w:r w:rsidR="00004642" w:rsidRPr="001F6FA7">
                <w:rPr>
                  <w:rStyle w:val="Hyperlink"/>
                  <w:rFonts w:asciiTheme="minorHAnsi" w:hAnsiTheme="minorHAnsi" w:cstheme="minorHAnsi"/>
                  <w:bCs/>
                  <w:szCs w:val="22"/>
                </w:rPr>
                <w:t>Miriam.Wheatley@mail.house.gov</w:t>
              </w:r>
            </w:hyperlink>
            <w:r w:rsidR="00004642">
              <w:rPr>
                <w:rFonts w:asciiTheme="minorHAnsi" w:hAnsiTheme="minorHAnsi" w:cstheme="minorHAnsi"/>
                <w:bCs/>
                <w:szCs w:val="22"/>
              </w:rPr>
              <w:t xml:space="preserve"> </w:t>
            </w:r>
          </w:p>
          <w:p w14:paraId="6D330BF2" w14:textId="77777777" w:rsidR="001213E6" w:rsidRPr="00CE378F" w:rsidRDefault="001213E6" w:rsidP="00403E65">
            <w:pPr>
              <w:jc w:val="center"/>
              <w:rPr>
                <w:rFonts w:asciiTheme="minorHAnsi" w:hAnsiTheme="minorHAnsi" w:cstheme="minorHAnsi"/>
                <w:bCs/>
                <w:szCs w:val="22"/>
              </w:rPr>
            </w:pPr>
          </w:p>
        </w:tc>
      </w:tr>
      <w:tr w:rsidR="001213E6" w:rsidRPr="00CE378F" w14:paraId="2C5FCF8B" w14:textId="77777777" w:rsidTr="001730B8">
        <w:trPr>
          <w:trHeight w:val="756"/>
        </w:trPr>
        <w:tc>
          <w:tcPr>
            <w:tcW w:w="4680" w:type="dxa"/>
            <w:shd w:val="clear" w:color="auto" w:fill="auto"/>
          </w:tcPr>
          <w:p w14:paraId="49818FD7" w14:textId="1BEB9FF6" w:rsidR="00EE1B2A" w:rsidRPr="00CE378F" w:rsidRDefault="00EE1B2A" w:rsidP="00EE1B2A">
            <w:pPr>
              <w:jc w:val="center"/>
              <w:rPr>
                <w:rFonts w:asciiTheme="minorHAnsi" w:hAnsiTheme="minorHAnsi" w:cstheme="minorHAnsi"/>
                <w:b/>
                <w:bCs/>
                <w:szCs w:val="22"/>
              </w:rPr>
            </w:pPr>
            <w:r w:rsidRPr="00CE378F">
              <w:rPr>
                <w:rFonts w:asciiTheme="minorHAnsi" w:hAnsiTheme="minorHAnsi" w:cstheme="minorHAnsi"/>
                <w:b/>
                <w:bCs/>
                <w:szCs w:val="22"/>
              </w:rPr>
              <w:t>Senator Jerry Moran (R-KS)</w:t>
            </w:r>
          </w:p>
          <w:p w14:paraId="0A780E8A" w14:textId="1E857589" w:rsidR="00EE1B2A" w:rsidRPr="00CE378F" w:rsidRDefault="00EE1B2A" w:rsidP="00EE1B2A">
            <w:pPr>
              <w:jc w:val="center"/>
              <w:rPr>
                <w:rFonts w:asciiTheme="minorHAnsi" w:hAnsiTheme="minorHAnsi" w:cstheme="minorHAnsi"/>
                <w:bCs/>
                <w:szCs w:val="22"/>
              </w:rPr>
            </w:pPr>
            <w:r w:rsidRPr="00CE378F">
              <w:rPr>
                <w:rFonts w:asciiTheme="minorHAnsi" w:hAnsiTheme="minorHAnsi" w:cstheme="minorHAnsi"/>
                <w:bCs/>
                <w:szCs w:val="22"/>
              </w:rPr>
              <w:t xml:space="preserve">Contact: </w:t>
            </w:r>
            <w:r w:rsidR="00EC2941" w:rsidRPr="00CE378F">
              <w:rPr>
                <w:rFonts w:asciiTheme="minorHAnsi" w:hAnsiTheme="minorHAnsi" w:cstheme="minorHAnsi"/>
                <w:bCs/>
                <w:szCs w:val="22"/>
              </w:rPr>
              <w:t>Jordan Ebert</w:t>
            </w:r>
          </w:p>
          <w:p w14:paraId="41B07CF2" w14:textId="504F9D6A" w:rsidR="003F65DE" w:rsidRPr="00CE378F" w:rsidRDefault="00EE1B2A" w:rsidP="007D269D">
            <w:pPr>
              <w:jc w:val="center"/>
              <w:rPr>
                <w:rFonts w:asciiTheme="minorHAnsi" w:hAnsiTheme="minorHAnsi" w:cstheme="minorHAnsi"/>
                <w:bCs/>
                <w:szCs w:val="22"/>
              </w:rPr>
            </w:pPr>
            <w:r w:rsidRPr="00CE378F">
              <w:rPr>
                <w:rFonts w:asciiTheme="minorHAnsi" w:hAnsiTheme="minorHAnsi" w:cstheme="minorHAnsi"/>
                <w:bCs/>
                <w:szCs w:val="22"/>
              </w:rPr>
              <w:t>202-224-</w:t>
            </w:r>
            <w:r w:rsidR="007D269D">
              <w:rPr>
                <w:rFonts w:asciiTheme="minorHAnsi" w:hAnsiTheme="minorHAnsi" w:cstheme="minorHAnsi"/>
                <w:bCs/>
                <w:szCs w:val="22"/>
              </w:rPr>
              <w:t>6521</w:t>
            </w:r>
            <w:r w:rsidRPr="00CE378F">
              <w:rPr>
                <w:rFonts w:asciiTheme="minorHAnsi" w:hAnsiTheme="minorHAnsi" w:cstheme="minorHAnsi"/>
                <w:bCs/>
                <w:szCs w:val="22"/>
              </w:rPr>
              <w:t xml:space="preserve"> or </w:t>
            </w:r>
            <w:hyperlink r:id="rId10" w:history="1">
              <w:r w:rsidR="00EC2941" w:rsidRPr="00CE378F">
                <w:rPr>
                  <w:rStyle w:val="Hyperlink"/>
                  <w:rFonts w:asciiTheme="minorHAnsi" w:hAnsiTheme="minorHAnsi" w:cstheme="minorHAnsi"/>
                  <w:bCs/>
                  <w:szCs w:val="22"/>
                </w:rPr>
                <w:t>Jordan_Ebert@moran.senate.gov</w:t>
              </w:r>
            </w:hyperlink>
          </w:p>
        </w:tc>
        <w:tc>
          <w:tcPr>
            <w:tcW w:w="4680" w:type="dxa"/>
            <w:shd w:val="clear" w:color="auto" w:fill="auto"/>
          </w:tcPr>
          <w:p w14:paraId="2AB633CC" w14:textId="4AD89C12" w:rsidR="001213E6" w:rsidRPr="00CE378F" w:rsidRDefault="001213E6" w:rsidP="00403E65">
            <w:pPr>
              <w:jc w:val="center"/>
              <w:rPr>
                <w:rFonts w:asciiTheme="minorHAnsi" w:hAnsiTheme="minorHAnsi" w:cstheme="minorHAnsi"/>
                <w:b/>
                <w:bCs/>
                <w:szCs w:val="22"/>
              </w:rPr>
            </w:pPr>
            <w:r w:rsidRPr="00CE378F">
              <w:rPr>
                <w:rFonts w:asciiTheme="minorHAnsi" w:hAnsiTheme="minorHAnsi" w:cstheme="minorHAnsi"/>
                <w:b/>
                <w:bCs/>
                <w:szCs w:val="22"/>
              </w:rPr>
              <w:t xml:space="preserve">Rep. </w:t>
            </w:r>
            <w:r w:rsidR="006027C6">
              <w:rPr>
                <w:rFonts w:asciiTheme="minorHAnsi" w:hAnsiTheme="minorHAnsi" w:cstheme="minorHAnsi"/>
                <w:b/>
                <w:bCs/>
                <w:szCs w:val="22"/>
              </w:rPr>
              <w:t>Ron Estes (R-KS-04)</w:t>
            </w:r>
          </w:p>
          <w:p w14:paraId="2AEDD175" w14:textId="30CC16C2" w:rsidR="001213E6" w:rsidRPr="00CE378F" w:rsidRDefault="0018209A" w:rsidP="00403E65">
            <w:pPr>
              <w:jc w:val="center"/>
              <w:rPr>
                <w:rFonts w:asciiTheme="minorHAnsi" w:hAnsiTheme="minorHAnsi" w:cstheme="minorHAnsi"/>
                <w:bCs/>
                <w:szCs w:val="22"/>
              </w:rPr>
            </w:pPr>
            <w:r w:rsidRPr="00CE378F">
              <w:rPr>
                <w:rFonts w:asciiTheme="minorHAnsi" w:hAnsiTheme="minorHAnsi" w:cstheme="minorHAnsi"/>
                <w:bCs/>
                <w:szCs w:val="22"/>
              </w:rPr>
              <w:t xml:space="preserve">Contact: </w:t>
            </w:r>
            <w:r w:rsidR="006027C6">
              <w:rPr>
                <w:rFonts w:asciiTheme="minorHAnsi" w:hAnsiTheme="minorHAnsi" w:cstheme="minorHAnsi"/>
                <w:bCs/>
                <w:szCs w:val="22"/>
              </w:rPr>
              <w:t>Nicholas O’Boyle</w:t>
            </w:r>
          </w:p>
          <w:p w14:paraId="2FA64753" w14:textId="7EB9AAFA" w:rsidR="001213E6" w:rsidRDefault="001213E6" w:rsidP="00992813">
            <w:pPr>
              <w:jc w:val="center"/>
              <w:rPr>
                <w:rFonts w:asciiTheme="minorHAnsi" w:hAnsiTheme="minorHAnsi" w:cstheme="minorHAnsi"/>
                <w:bCs/>
                <w:szCs w:val="22"/>
              </w:rPr>
            </w:pPr>
            <w:r w:rsidRPr="00CE378F">
              <w:rPr>
                <w:rFonts w:asciiTheme="minorHAnsi" w:hAnsiTheme="minorHAnsi" w:cstheme="minorHAnsi"/>
                <w:bCs/>
                <w:szCs w:val="22"/>
              </w:rPr>
              <w:t>202-225-</w:t>
            </w:r>
            <w:r w:rsidR="006027C6">
              <w:rPr>
                <w:rFonts w:asciiTheme="minorHAnsi" w:hAnsiTheme="minorHAnsi" w:cstheme="minorHAnsi"/>
                <w:bCs/>
                <w:szCs w:val="22"/>
              </w:rPr>
              <w:t>6216</w:t>
            </w:r>
            <w:r w:rsidR="001730B8">
              <w:rPr>
                <w:rFonts w:asciiTheme="minorHAnsi" w:hAnsiTheme="minorHAnsi" w:cstheme="minorHAnsi"/>
                <w:bCs/>
                <w:szCs w:val="22"/>
              </w:rPr>
              <w:t xml:space="preserve"> or</w:t>
            </w:r>
          </w:p>
          <w:p w14:paraId="00893FC3" w14:textId="39F0AA34" w:rsidR="001730B8" w:rsidRPr="00CE378F" w:rsidRDefault="00997F20" w:rsidP="00992813">
            <w:pPr>
              <w:jc w:val="center"/>
              <w:rPr>
                <w:rFonts w:asciiTheme="minorHAnsi" w:hAnsiTheme="minorHAnsi" w:cstheme="minorHAnsi"/>
                <w:bCs/>
                <w:szCs w:val="22"/>
              </w:rPr>
            </w:pPr>
            <w:hyperlink r:id="rId11" w:history="1">
              <w:r w:rsidR="006027C6" w:rsidRPr="006027C6">
                <w:rPr>
                  <w:rStyle w:val="Hyperlink"/>
                  <w:rFonts w:asciiTheme="minorHAnsi" w:hAnsiTheme="minorHAnsi" w:cstheme="minorHAnsi"/>
                  <w:bCs/>
                  <w:szCs w:val="22"/>
                </w:rPr>
                <w:t>nicholas.o'boyle@mail.house.gov</w:t>
              </w:r>
            </w:hyperlink>
          </w:p>
        </w:tc>
      </w:tr>
    </w:tbl>
    <w:p w14:paraId="765F69A4" w14:textId="57599AFA" w:rsidR="00EA66C1" w:rsidRPr="00CE378F" w:rsidRDefault="00EA66C1" w:rsidP="00CE378F">
      <w:pPr>
        <w:rPr>
          <w:rFonts w:asciiTheme="minorHAnsi" w:hAnsiTheme="minorHAnsi" w:cstheme="minorHAnsi"/>
          <w:b/>
          <w:bCs/>
          <w:sz w:val="32"/>
          <w:szCs w:val="32"/>
        </w:rPr>
      </w:pPr>
    </w:p>
    <w:sectPr w:rsidR="00EA66C1" w:rsidRPr="00CE378F" w:rsidSect="007D269D">
      <w:pgSz w:w="12240" w:h="15840"/>
      <w:pgMar w:top="1152" w:right="1440" w:bottom="864" w:left="1440" w:header="720" w:footer="47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DE8B05" w14:textId="77777777" w:rsidR="00997F20" w:rsidRDefault="00997F20" w:rsidP="00C15365">
      <w:r>
        <w:separator/>
      </w:r>
    </w:p>
  </w:endnote>
  <w:endnote w:type="continuationSeparator" w:id="0">
    <w:p w14:paraId="0B6C21A0" w14:textId="77777777" w:rsidR="00997F20" w:rsidRDefault="00997F20" w:rsidP="00C153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11311D" w14:textId="77777777" w:rsidR="00997F20" w:rsidRDefault="00997F20" w:rsidP="00C15365">
      <w:r>
        <w:separator/>
      </w:r>
    </w:p>
  </w:footnote>
  <w:footnote w:type="continuationSeparator" w:id="0">
    <w:p w14:paraId="5228C8F3" w14:textId="77777777" w:rsidR="00997F20" w:rsidRDefault="00997F20" w:rsidP="00C153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4C3A9B3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BA600F8"/>
    <w:multiLevelType w:val="hybridMultilevel"/>
    <w:tmpl w:val="F15C043E"/>
    <w:lvl w:ilvl="0" w:tplc="4392A4D4">
      <w:start w:val="202"/>
      <w:numFmt w:val="bullet"/>
      <w:lvlText w:val="-"/>
      <w:lvlJc w:val="left"/>
      <w:pPr>
        <w:ind w:left="720" w:hanging="360"/>
      </w:pPr>
      <w:rPr>
        <w:rFonts w:ascii="Calibri" w:eastAsia="Cambr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B751272"/>
    <w:multiLevelType w:val="hybridMultilevel"/>
    <w:tmpl w:val="FD380122"/>
    <w:lvl w:ilvl="0" w:tplc="BDFA911A">
      <w:numFmt w:val="bullet"/>
      <w:lvlText w:val="-"/>
      <w:lvlJc w:val="left"/>
      <w:pPr>
        <w:ind w:left="720" w:hanging="360"/>
      </w:pPr>
      <w:rPr>
        <w:rFonts w:ascii="Calibri" w:eastAsia="Cambria" w:hAnsi="Calibri"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4355"/>
    <w:rsid w:val="000005A8"/>
    <w:rsid w:val="00004642"/>
    <w:rsid w:val="00030060"/>
    <w:rsid w:val="000368ED"/>
    <w:rsid w:val="00045619"/>
    <w:rsid w:val="00061BA8"/>
    <w:rsid w:val="000915BD"/>
    <w:rsid w:val="000917D7"/>
    <w:rsid w:val="00093F69"/>
    <w:rsid w:val="000E0EA3"/>
    <w:rsid w:val="000F2073"/>
    <w:rsid w:val="001201FB"/>
    <w:rsid w:val="001213E6"/>
    <w:rsid w:val="001272D1"/>
    <w:rsid w:val="001349B5"/>
    <w:rsid w:val="0013738D"/>
    <w:rsid w:val="00156463"/>
    <w:rsid w:val="001730B8"/>
    <w:rsid w:val="0017414E"/>
    <w:rsid w:val="0018209A"/>
    <w:rsid w:val="00185238"/>
    <w:rsid w:val="001936DD"/>
    <w:rsid w:val="00196773"/>
    <w:rsid w:val="001D27FE"/>
    <w:rsid w:val="001E119B"/>
    <w:rsid w:val="00214E5C"/>
    <w:rsid w:val="00220DEA"/>
    <w:rsid w:val="00225F41"/>
    <w:rsid w:val="00230C17"/>
    <w:rsid w:val="0026278C"/>
    <w:rsid w:val="00263C19"/>
    <w:rsid w:val="002A4B88"/>
    <w:rsid w:val="002A5023"/>
    <w:rsid w:val="002B64A2"/>
    <w:rsid w:val="002C5FB5"/>
    <w:rsid w:val="00307B13"/>
    <w:rsid w:val="003378AC"/>
    <w:rsid w:val="00343FF5"/>
    <w:rsid w:val="00355F26"/>
    <w:rsid w:val="00374E04"/>
    <w:rsid w:val="003840AD"/>
    <w:rsid w:val="003849F6"/>
    <w:rsid w:val="003A088D"/>
    <w:rsid w:val="003E0738"/>
    <w:rsid w:val="003F2719"/>
    <w:rsid w:val="003F65DE"/>
    <w:rsid w:val="00401334"/>
    <w:rsid w:val="00403E65"/>
    <w:rsid w:val="00406B31"/>
    <w:rsid w:val="004310F0"/>
    <w:rsid w:val="00444D2C"/>
    <w:rsid w:val="004834D6"/>
    <w:rsid w:val="00492DD4"/>
    <w:rsid w:val="004C4A6A"/>
    <w:rsid w:val="00525C77"/>
    <w:rsid w:val="005504D1"/>
    <w:rsid w:val="005A7666"/>
    <w:rsid w:val="005C5C99"/>
    <w:rsid w:val="005D0E59"/>
    <w:rsid w:val="005D7D39"/>
    <w:rsid w:val="006027C6"/>
    <w:rsid w:val="006139B3"/>
    <w:rsid w:val="00622051"/>
    <w:rsid w:val="00663EFE"/>
    <w:rsid w:val="00683B7C"/>
    <w:rsid w:val="006B083F"/>
    <w:rsid w:val="006C5920"/>
    <w:rsid w:val="00705DE1"/>
    <w:rsid w:val="00724812"/>
    <w:rsid w:val="00730384"/>
    <w:rsid w:val="00734355"/>
    <w:rsid w:val="00773123"/>
    <w:rsid w:val="0077691B"/>
    <w:rsid w:val="007C5909"/>
    <w:rsid w:val="007D269D"/>
    <w:rsid w:val="007E3936"/>
    <w:rsid w:val="007E6B61"/>
    <w:rsid w:val="00823294"/>
    <w:rsid w:val="00857977"/>
    <w:rsid w:val="00890AE5"/>
    <w:rsid w:val="00896B5F"/>
    <w:rsid w:val="008C6438"/>
    <w:rsid w:val="008D0C78"/>
    <w:rsid w:val="008D5691"/>
    <w:rsid w:val="00914EA6"/>
    <w:rsid w:val="00916847"/>
    <w:rsid w:val="00932EA4"/>
    <w:rsid w:val="00947D22"/>
    <w:rsid w:val="00966EE0"/>
    <w:rsid w:val="0099151C"/>
    <w:rsid w:val="00992813"/>
    <w:rsid w:val="00997646"/>
    <w:rsid w:val="00997F20"/>
    <w:rsid w:val="009A007D"/>
    <w:rsid w:val="009E0755"/>
    <w:rsid w:val="00A034C5"/>
    <w:rsid w:val="00A47C3F"/>
    <w:rsid w:val="00A94348"/>
    <w:rsid w:val="00AA31DF"/>
    <w:rsid w:val="00AB6824"/>
    <w:rsid w:val="00AD0F99"/>
    <w:rsid w:val="00B07585"/>
    <w:rsid w:val="00B2197F"/>
    <w:rsid w:val="00B24A70"/>
    <w:rsid w:val="00B36EFC"/>
    <w:rsid w:val="00B41980"/>
    <w:rsid w:val="00B75E18"/>
    <w:rsid w:val="00BA1BD7"/>
    <w:rsid w:val="00BB1004"/>
    <w:rsid w:val="00BB6F19"/>
    <w:rsid w:val="00BF364D"/>
    <w:rsid w:val="00C15365"/>
    <w:rsid w:val="00C455B2"/>
    <w:rsid w:val="00C718F9"/>
    <w:rsid w:val="00C908EE"/>
    <w:rsid w:val="00C93E76"/>
    <w:rsid w:val="00CE378F"/>
    <w:rsid w:val="00D05460"/>
    <w:rsid w:val="00D065E7"/>
    <w:rsid w:val="00D12E58"/>
    <w:rsid w:val="00D52264"/>
    <w:rsid w:val="00D6148A"/>
    <w:rsid w:val="00D64010"/>
    <w:rsid w:val="00D849AF"/>
    <w:rsid w:val="00D94052"/>
    <w:rsid w:val="00D95131"/>
    <w:rsid w:val="00DB2797"/>
    <w:rsid w:val="00DF2299"/>
    <w:rsid w:val="00E31B6F"/>
    <w:rsid w:val="00E64EE1"/>
    <w:rsid w:val="00EA21D0"/>
    <w:rsid w:val="00EA66C1"/>
    <w:rsid w:val="00EC2941"/>
    <w:rsid w:val="00ED022A"/>
    <w:rsid w:val="00EE1B2A"/>
    <w:rsid w:val="00EF0DBC"/>
    <w:rsid w:val="00F1718B"/>
    <w:rsid w:val="00F20ED3"/>
    <w:rsid w:val="00F253A9"/>
    <w:rsid w:val="00F51E21"/>
    <w:rsid w:val="00F5630C"/>
    <w:rsid w:val="00F6770B"/>
    <w:rsid w:val="00F71884"/>
    <w:rsid w:val="00F72265"/>
    <w:rsid w:val="00F80834"/>
    <w:rsid w:val="00F95270"/>
    <w:rsid w:val="00F96864"/>
    <w:rsid w:val="00FB6189"/>
    <w:rsid w:val="00FB7E05"/>
    <w:rsid w:val="00FC629C"/>
    <w:rsid w:val="00FD68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50D0184"/>
  <w15:docId w15:val="{F15F131A-70CE-4630-81D0-53B00862F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8D3"/>
    <w:rPr>
      <w:rFonts w:eastAsia="Cambr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D68D3"/>
    <w:rPr>
      <w:rFonts w:ascii="Tahoma" w:hAnsi="Tahoma"/>
      <w:sz w:val="16"/>
      <w:szCs w:val="16"/>
      <w:lang w:val="x-none" w:eastAsia="x-none"/>
    </w:rPr>
  </w:style>
  <w:style w:type="character" w:customStyle="1" w:styleId="BalloonTextChar">
    <w:name w:val="Balloon Text Char"/>
    <w:link w:val="BalloonText"/>
    <w:uiPriority w:val="99"/>
    <w:semiHidden/>
    <w:rsid w:val="00FD68D3"/>
    <w:rPr>
      <w:rFonts w:ascii="Tahoma" w:eastAsia="Cambria" w:hAnsi="Tahoma" w:cs="Tahoma"/>
      <w:sz w:val="16"/>
      <w:szCs w:val="16"/>
    </w:rPr>
  </w:style>
  <w:style w:type="paragraph" w:styleId="Header">
    <w:name w:val="header"/>
    <w:basedOn w:val="Normal"/>
    <w:link w:val="HeaderChar"/>
    <w:uiPriority w:val="99"/>
    <w:unhideWhenUsed/>
    <w:rsid w:val="00C15365"/>
    <w:pPr>
      <w:tabs>
        <w:tab w:val="center" w:pos="4320"/>
        <w:tab w:val="right" w:pos="8640"/>
      </w:tabs>
    </w:pPr>
    <w:rPr>
      <w:lang w:val="x-none" w:eastAsia="x-none"/>
    </w:rPr>
  </w:style>
  <w:style w:type="character" w:customStyle="1" w:styleId="HeaderChar">
    <w:name w:val="Header Char"/>
    <w:link w:val="Header"/>
    <w:uiPriority w:val="99"/>
    <w:rsid w:val="00C15365"/>
    <w:rPr>
      <w:rFonts w:eastAsia="Cambria"/>
      <w:sz w:val="22"/>
      <w:szCs w:val="24"/>
    </w:rPr>
  </w:style>
  <w:style w:type="paragraph" w:styleId="Footer">
    <w:name w:val="footer"/>
    <w:basedOn w:val="Normal"/>
    <w:link w:val="FooterChar"/>
    <w:uiPriority w:val="99"/>
    <w:unhideWhenUsed/>
    <w:rsid w:val="00C15365"/>
    <w:pPr>
      <w:tabs>
        <w:tab w:val="center" w:pos="4320"/>
        <w:tab w:val="right" w:pos="8640"/>
      </w:tabs>
    </w:pPr>
    <w:rPr>
      <w:lang w:val="x-none" w:eastAsia="x-none"/>
    </w:rPr>
  </w:style>
  <w:style w:type="character" w:customStyle="1" w:styleId="FooterChar">
    <w:name w:val="Footer Char"/>
    <w:link w:val="Footer"/>
    <w:uiPriority w:val="99"/>
    <w:rsid w:val="00C15365"/>
    <w:rPr>
      <w:rFonts w:eastAsia="Cambria"/>
      <w:sz w:val="22"/>
      <w:szCs w:val="24"/>
    </w:rPr>
  </w:style>
  <w:style w:type="table" w:styleId="TableGrid">
    <w:name w:val="Table Grid"/>
    <w:basedOn w:val="TableNormal"/>
    <w:uiPriority w:val="59"/>
    <w:rsid w:val="001936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890AE5"/>
    <w:rPr>
      <w:color w:val="0000FF"/>
      <w:u w:val="single"/>
    </w:rPr>
  </w:style>
  <w:style w:type="character" w:styleId="CommentReference">
    <w:name w:val="annotation reference"/>
    <w:basedOn w:val="DefaultParagraphFont"/>
    <w:uiPriority w:val="99"/>
    <w:semiHidden/>
    <w:unhideWhenUsed/>
    <w:rsid w:val="0017414E"/>
    <w:rPr>
      <w:sz w:val="16"/>
      <w:szCs w:val="16"/>
    </w:rPr>
  </w:style>
  <w:style w:type="paragraph" w:styleId="CommentText">
    <w:name w:val="annotation text"/>
    <w:basedOn w:val="Normal"/>
    <w:link w:val="CommentTextChar"/>
    <w:uiPriority w:val="99"/>
    <w:semiHidden/>
    <w:unhideWhenUsed/>
    <w:rsid w:val="0017414E"/>
    <w:rPr>
      <w:sz w:val="20"/>
      <w:szCs w:val="20"/>
    </w:rPr>
  </w:style>
  <w:style w:type="character" w:customStyle="1" w:styleId="CommentTextChar">
    <w:name w:val="Comment Text Char"/>
    <w:basedOn w:val="DefaultParagraphFont"/>
    <w:link w:val="CommentText"/>
    <w:uiPriority w:val="99"/>
    <w:semiHidden/>
    <w:rsid w:val="0017414E"/>
    <w:rPr>
      <w:rFonts w:eastAsia="Cambria"/>
    </w:rPr>
  </w:style>
  <w:style w:type="paragraph" w:styleId="CommentSubject">
    <w:name w:val="annotation subject"/>
    <w:basedOn w:val="CommentText"/>
    <w:next w:val="CommentText"/>
    <w:link w:val="CommentSubjectChar"/>
    <w:uiPriority w:val="99"/>
    <w:semiHidden/>
    <w:unhideWhenUsed/>
    <w:rsid w:val="0017414E"/>
    <w:rPr>
      <w:b/>
      <w:bCs/>
    </w:rPr>
  </w:style>
  <w:style w:type="character" w:customStyle="1" w:styleId="CommentSubjectChar">
    <w:name w:val="Comment Subject Char"/>
    <w:basedOn w:val="CommentTextChar"/>
    <w:link w:val="CommentSubject"/>
    <w:uiPriority w:val="99"/>
    <w:semiHidden/>
    <w:rsid w:val="0017414E"/>
    <w:rPr>
      <w:rFonts w:eastAsia="Cambria"/>
      <w:b/>
      <w:bCs/>
    </w:rPr>
  </w:style>
  <w:style w:type="character" w:styleId="FollowedHyperlink">
    <w:name w:val="FollowedHyperlink"/>
    <w:basedOn w:val="DefaultParagraphFont"/>
    <w:uiPriority w:val="99"/>
    <w:semiHidden/>
    <w:unhideWhenUsed/>
    <w:rsid w:val="00C455B2"/>
    <w:rPr>
      <w:color w:val="954F72" w:themeColor="followedHyperlink"/>
      <w:u w:val="single"/>
    </w:rPr>
  </w:style>
  <w:style w:type="paragraph" w:styleId="ListParagraph">
    <w:name w:val="List Paragraph"/>
    <w:basedOn w:val="Normal"/>
    <w:uiPriority w:val="34"/>
    <w:qFormat/>
    <w:rsid w:val="007D26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7920996">
      <w:bodyDiv w:val="1"/>
      <w:marLeft w:val="0"/>
      <w:marRight w:val="0"/>
      <w:marTop w:val="0"/>
      <w:marBottom w:val="0"/>
      <w:divBdr>
        <w:top w:val="none" w:sz="0" w:space="0" w:color="auto"/>
        <w:left w:val="none" w:sz="0" w:space="0" w:color="auto"/>
        <w:bottom w:val="none" w:sz="0" w:space="0" w:color="auto"/>
        <w:right w:val="none" w:sz="0" w:space="0" w:color="auto"/>
      </w:divBdr>
    </w:div>
    <w:div w:id="1110005400">
      <w:bodyDiv w:val="1"/>
      <w:marLeft w:val="0"/>
      <w:marRight w:val="0"/>
      <w:marTop w:val="0"/>
      <w:marBottom w:val="0"/>
      <w:divBdr>
        <w:top w:val="none" w:sz="0" w:space="0" w:color="auto"/>
        <w:left w:val="none" w:sz="0" w:space="0" w:color="auto"/>
        <w:bottom w:val="none" w:sz="0" w:space="0" w:color="auto"/>
        <w:right w:val="none" w:sz="0" w:space="0" w:color="auto"/>
      </w:divBdr>
    </w:div>
    <w:div w:id="1187645928">
      <w:bodyDiv w:val="1"/>
      <w:marLeft w:val="0"/>
      <w:marRight w:val="0"/>
      <w:marTop w:val="0"/>
      <w:marBottom w:val="0"/>
      <w:divBdr>
        <w:top w:val="none" w:sz="0" w:space="0" w:color="auto"/>
        <w:left w:val="none" w:sz="0" w:space="0" w:color="auto"/>
        <w:bottom w:val="none" w:sz="0" w:space="0" w:color="auto"/>
        <w:right w:val="none" w:sz="0" w:space="0" w:color="auto"/>
      </w:divBdr>
    </w:div>
    <w:div w:id="1291784413">
      <w:bodyDiv w:val="1"/>
      <w:marLeft w:val="0"/>
      <w:marRight w:val="0"/>
      <w:marTop w:val="0"/>
      <w:marBottom w:val="0"/>
      <w:divBdr>
        <w:top w:val="none" w:sz="0" w:space="0" w:color="auto"/>
        <w:left w:val="none" w:sz="0" w:space="0" w:color="auto"/>
        <w:bottom w:val="none" w:sz="0" w:space="0" w:color="auto"/>
        <w:right w:val="none" w:sz="0" w:space="0" w:color="auto"/>
      </w:divBdr>
    </w:div>
    <w:div w:id="1325626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icholas.o'boyle@mail.house.gov" TargetMode="External"/><Relationship Id="rId5" Type="http://schemas.openxmlformats.org/officeDocument/2006/relationships/webSettings" Target="webSettings.xml"/><Relationship Id="rId10" Type="http://schemas.openxmlformats.org/officeDocument/2006/relationships/hyperlink" Target="mailto:Jordan_Ebert@moran.senate.gov" TargetMode="External"/><Relationship Id="rId4" Type="http://schemas.openxmlformats.org/officeDocument/2006/relationships/settings" Target="settings.xml"/><Relationship Id="rId9" Type="http://schemas.openxmlformats.org/officeDocument/2006/relationships/hyperlink" Target="mailto:Miriam.Wheatley@mail.hous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7B49C3-490E-46CF-B621-09BF5C708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737</Words>
  <Characters>4204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United States Senate</Company>
  <LinksUpToDate>false</LinksUpToDate>
  <CharactersWithSpaces>4932</CharactersWithSpaces>
  <SharedDoc>false</SharedDoc>
  <HLinks>
    <vt:vector size="30" baseType="variant">
      <vt:variant>
        <vt:i4>4128827</vt:i4>
      </vt:variant>
      <vt:variant>
        <vt:i4>12</vt:i4>
      </vt:variant>
      <vt:variant>
        <vt:i4>0</vt:i4>
      </vt:variant>
      <vt:variant>
        <vt:i4>5</vt:i4>
      </vt:variant>
      <vt:variant>
        <vt:lpwstr>http://coons.senate.gov/mlp</vt:lpwstr>
      </vt:variant>
      <vt:variant>
        <vt:lpwstr/>
      </vt:variant>
      <vt:variant>
        <vt:i4>3342359</vt:i4>
      </vt:variant>
      <vt:variant>
        <vt:i4>9</vt:i4>
      </vt:variant>
      <vt:variant>
        <vt:i4>0</vt:i4>
      </vt:variant>
      <vt:variant>
        <vt:i4>5</vt:i4>
      </vt:variant>
      <vt:variant>
        <vt:lpwstr>mailto:lakecia.foster@mail.house.gov</vt:lpwstr>
      </vt:variant>
      <vt:variant>
        <vt:lpwstr/>
      </vt:variant>
      <vt:variant>
        <vt:i4>4194311</vt:i4>
      </vt:variant>
      <vt:variant>
        <vt:i4>6</vt:i4>
      </vt:variant>
      <vt:variant>
        <vt:i4>0</vt:i4>
      </vt:variant>
      <vt:variant>
        <vt:i4>5</vt:i4>
      </vt:variant>
      <vt:variant>
        <vt:lpwstr>mailto:william_ruder@moran.senate.gov</vt:lpwstr>
      </vt:variant>
      <vt:variant>
        <vt:lpwstr/>
      </vt:variant>
      <vt:variant>
        <vt:i4>2031659</vt:i4>
      </vt:variant>
      <vt:variant>
        <vt:i4>3</vt:i4>
      </vt:variant>
      <vt:variant>
        <vt:i4>0</vt:i4>
      </vt:variant>
      <vt:variant>
        <vt:i4>5</vt:i4>
      </vt:variant>
      <vt:variant>
        <vt:lpwstr>mailto:tim.tarpley@mail.house.gov</vt:lpwstr>
      </vt:variant>
      <vt:variant>
        <vt:lpwstr/>
      </vt:variant>
      <vt:variant>
        <vt:i4>118</vt:i4>
      </vt:variant>
      <vt:variant>
        <vt:i4>0</vt:i4>
      </vt:variant>
      <vt:variant>
        <vt:i4>0</vt:i4>
      </vt:variant>
      <vt:variant>
        <vt:i4>5</vt:i4>
      </vt:variant>
      <vt:variant>
        <vt:lpwstr>mailto:Franzw@coons.senate.gov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Koski, Ian (Coons)</dc:creator>
  <cp:lastModifiedBy>Jacky Kinson</cp:lastModifiedBy>
  <cp:revision>2</cp:revision>
  <cp:lastPrinted>2019-05-20T18:50:00Z</cp:lastPrinted>
  <dcterms:created xsi:type="dcterms:W3CDTF">2019-06-06T14:17:00Z</dcterms:created>
  <dcterms:modified xsi:type="dcterms:W3CDTF">2019-06-06T14:17:00Z</dcterms:modified>
</cp:coreProperties>
</file>