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A28CD" w14:textId="77777777" w:rsidR="00656AF7" w:rsidRPr="001253DC" w:rsidRDefault="00656AF7" w:rsidP="003E378D">
      <w:pPr>
        <w:ind w:left="90" w:right="-432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9EC1032" w14:textId="77777777" w:rsidR="00A51A6B" w:rsidRPr="001253DC" w:rsidRDefault="00A51A6B" w:rsidP="00A32EA2">
      <w:pPr>
        <w:ind w:left="-86" w:right="-432"/>
        <w:rPr>
          <w:rFonts w:ascii="Arial" w:hAnsi="Arial" w:cs="Arial"/>
          <w:sz w:val="20"/>
          <w:szCs w:val="20"/>
        </w:rPr>
      </w:pPr>
      <w:r w:rsidRPr="001253DC">
        <w:rPr>
          <w:rFonts w:ascii="Arial" w:hAnsi="Arial" w:cs="Arial"/>
          <w:sz w:val="20"/>
          <w:szCs w:val="20"/>
          <w:highlight w:val="yellow"/>
        </w:rPr>
        <w:t>[</w:t>
      </w:r>
      <w:r w:rsidRPr="001253DC">
        <w:rPr>
          <w:rFonts w:ascii="Arial" w:hAnsi="Arial" w:cs="Arial"/>
          <w:b/>
          <w:sz w:val="20"/>
          <w:szCs w:val="20"/>
          <w:highlight w:val="yellow"/>
        </w:rPr>
        <w:t>Agency letterhead</w:t>
      </w:r>
      <w:r w:rsidRPr="001253DC">
        <w:rPr>
          <w:rFonts w:ascii="Arial" w:hAnsi="Arial" w:cs="Arial"/>
          <w:sz w:val="20"/>
          <w:szCs w:val="20"/>
          <w:highlight w:val="yellow"/>
        </w:rPr>
        <w:t>]</w:t>
      </w:r>
    </w:p>
    <w:p w14:paraId="50363231" w14:textId="77777777" w:rsidR="00A51A6B" w:rsidRPr="001253DC" w:rsidRDefault="00A51A6B" w:rsidP="003E378D">
      <w:pPr>
        <w:ind w:right="-432"/>
        <w:rPr>
          <w:rFonts w:ascii="Arial" w:hAnsi="Arial" w:cs="Arial"/>
          <w:sz w:val="20"/>
          <w:szCs w:val="20"/>
        </w:rPr>
      </w:pPr>
    </w:p>
    <w:p w14:paraId="4A306E72" w14:textId="77777777" w:rsidR="00A51A6B" w:rsidRPr="001253DC" w:rsidRDefault="00A51A6B" w:rsidP="003E378D">
      <w:pPr>
        <w:ind w:right="-432"/>
        <w:rPr>
          <w:rFonts w:ascii="Arial" w:hAnsi="Arial" w:cs="Arial"/>
          <w:sz w:val="20"/>
          <w:szCs w:val="20"/>
        </w:rPr>
      </w:pPr>
    </w:p>
    <w:p w14:paraId="3F09F3CA" w14:textId="77777777" w:rsidR="00A51A6B" w:rsidRPr="001253DC" w:rsidRDefault="00A51A6B" w:rsidP="00A32EA2">
      <w:pPr>
        <w:ind w:left="-86" w:right="-432"/>
        <w:rPr>
          <w:rFonts w:ascii="Arial" w:hAnsi="Arial" w:cs="Arial"/>
          <w:sz w:val="20"/>
          <w:szCs w:val="20"/>
        </w:rPr>
      </w:pPr>
      <w:r w:rsidRPr="001253DC">
        <w:rPr>
          <w:rFonts w:ascii="Arial" w:hAnsi="Arial" w:cs="Arial"/>
          <w:sz w:val="20"/>
          <w:szCs w:val="20"/>
          <w:highlight w:val="yellow"/>
        </w:rPr>
        <w:t>[</w:t>
      </w:r>
      <w:r w:rsidRPr="001253DC">
        <w:rPr>
          <w:rFonts w:ascii="Arial" w:hAnsi="Arial" w:cs="Arial"/>
          <w:b/>
          <w:sz w:val="20"/>
          <w:szCs w:val="20"/>
          <w:highlight w:val="yellow"/>
        </w:rPr>
        <w:t>Date</w:t>
      </w:r>
      <w:r w:rsidRPr="001253DC">
        <w:rPr>
          <w:rFonts w:ascii="Arial" w:hAnsi="Arial" w:cs="Arial"/>
          <w:sz w:val="20"/>
          <w:szCs w:val="20"/>
          <w:highlight w:val="yellow"/>
        </w:rPr>
        <w:t>]</w:t>
      </w:r>
    </w:p>
    <w:p w14:paraId="7BDA6731" w14:textId="77777777" w:rsidR="00A51A6B" w:rsidRPr="001253DC" w:rsidRDefault="00A51A6B" w:rsidP="003E378D">
      <w:pPr>
        <w:ind w:right="-432"/>
        <w:rPr>
          <w:rFonts w:ascii="Arial" w:hAnsi="Arial" w:cs="Arial"/>
          <w:sz w:val="20"/>
          <w:szCs w:val="20"/>
        </w:rPr>
      </w:pPr>
    </w:p>
    <w:p w14:paraId="04B5C8B4" w14:textId="77777777" w:rsidR="00A51A6B" w:rsidRPr="001253DC" w:rsidRDefault="00A51A6B" w:rsidP="003E378D">
      <w:pPr>
        <w:ind w:right="-432"/>
        <w:rPr>
          <w:rFonts w:ascii="Arial" w:hAnsi="Arial" w:cs="Arial"/>
          <w:sz w:val="20"/>
          <w:szCs w:val="20"/>
        </w:rPr>
      </w:pPr>
    </w:p>
    <w:p w14:paraId="149F1B7E" w14:textId="47EDB3E3" w:rsidR="00C53CAB" w:rsidRDefault="00C53CAB" w:rsidP="003E378D">
      <w:pPr>
        <w:ind w:left="-90" w:right="-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 Gustavo Velasquez</w:t>
      </w:r>
    </w:p>
    <w:p w14:paraId="396AE93E" w14:textId="61D16D13" w:rsidR="00C53CAB" w:rsidRPr="001253DC" w:rsidRDefault="00C53CAB" w:rsidP="00C53CAB">
      <w:pPr>
        <w:ind w:left="-90" w:right="-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Department of Housing and Community Development</w:t>
      </w:r>
    </w:p>
    <w:p w14:paraId="44396CEF" w14:textId="77777777" w:rsidR="00C53CAB" w:rsidRDefault="00C53CAB" w:rsidP="003E378D">
      <w:pPr>
        <w:ind w:left="-90" w:right="-432"/>
        <w:rPr>
          <w:rFonts w:ascii="Arial" w:hAnsi="Arial" w:cs="Arial"/>
          <w:sz w:val="20"/>
          <w:szCs w:val="20"/>
          <w:lang w:val="es-ES"/>
        </w:rPr>
      </w:pPr>
      <w:r w:rsidRPr="00C53CAB">
        <w:rPr>
          <w:rFonts w:ascii="Arial" w:hAnsi="Arial" w:cs="Arial"/>
          <w:sz w:val="20"/>
          <w:szCs w:val="20"/>
          <w:lang w:val="es-ES"/>
        </w:rPr>
        <w:t xml:space="preserve">2020 West El Camino Ave. </w:t>
      </w:r>
    </w:p>
    <w:p w14:paraId="0583CD10" w14:textId="6A14E683" w:rsidR="00656AF7" w:rsidRDefault="00C53CAB" w:rsidP="003E378D">
      <w:pPr>
        <w:ind w:left="-90" w:right="-432"/>
        <w:rPr>
          <w:rFonts w:ascii="Arial" w:hAnsi="Arial" w:cs="Arial"/>
          <w:sz w:val="20"/>
          <w:szCs w:val="20"/>
          <w:lang w:val="es-ES"/>
        </w:rPr>
      </w:pPr>
      <w:r w:rsidRPr="00C53CAB">
        <w:rPr>
          <w:rFonts w:ascii="Arial" w:hAnsi="Arial" w:cs="Arial"/>
          <w:sz w:val="20"/>
          <w:szCs w:val="20"/>
          <w:lang w:val="es-ES"/>
        </w:rPr>
        <w:t>Sacramento, CA 95833</w:t>
      </w:r>
    </w:p>
    <w:p w14:paraId="3EDC19B0" w14:textId="20BB1F5B" w:rsidR="00C53CAB" w:rsidRPr="001E40CE" w:rsidRDefault="001E40CE" w:rsidP="003E378D">
      <w:pPr>
        <w:ind w:left="-90" w:right="-432"/>
        <w:rPr>
          <w:rFonts w:ascii="Arial" w:hAnsi="Arial" w:cs="Arial"/>
          <w:sz w:val="20"/>
          <w:szCs w:val="20"/>
        </w:rPr>
      </w:pPr>
      <w:r w:rsidRPr="001E40CE">
        <w:rPr>
          <w:rFonts w:ascii="Arial" w:hAnsi="Arial" w:cs="Arial"/>
          <w:sz w:val="20"/>
          <w:szCs w:val="20"/>
        </w:rPr>
        <w:t>Subm</w:t>
      </w:r>
      <w:r>
        <w:rPr>
          <w:rFonts w:ascii="Arial" w:hAnsi="Arial" w:cs="Arial"/>
          <w:sz w:val="20"/>
          <w:szCs w:val="20"/>
        </w:rPr>
        <w:t>itted</w:t>
      </w:r>
      <w:r w:rsidR="00C53CAB" w:rsidRPr="001E40CE">
        <w:rPr>
          <w:rFonts w:ascii="Arial" w:hAnsi="Arial" w:cs="Arial"/>
          <w:sz w:val="20"/>
          <w:szCs w:val="20"/>
        </w:rPr>
        <w:t xml:space="preserve"> via email to: </w:t>
      </w:r>
      <w:hyperlink r:id="rId8" w:history="1">
        <w:r w:rsidR="00C53CAB" w:rsidRPr="001E40CE">
          <w:rPr>
            <w:rStyle w:val="Hyperlink"/>
            <w:rFonts w:ascii="Arial" w:hAnsi="Arial" w:cs="Arial"/>
            <w:sz w:val="20"/>
            <w:szCs w:val="20"/>
          </w:rPr>
          <w:t>publiclands@hcd.ca.gov</w:t>
        </w:r>
      </w:hyperlink>
      <w:r w:rsidR="00C53CAB" w:rsidRPr="001E40CE">
        <w:rPr>
          <w:rFonts w:ascii="Arial" w:hAnsi="Arial" w:cs="Arial"/>
          <w:sz w:val="20"/>
          <w:szCs w:val="20"/>
        </w:rPr>
        <w:t xml:space="preserve"> </w:t>
      </w:r>
    </w:p>
    <w:p w14:paraId="4C4FEC84" w14:textId="77777777" w:rsidR="00C53CAB" w:rsidRPr="001E40CE" w:rsidRDefault="00C53CAB" w:rsidP="003E378D">
      <w:pPr>
        <w:ind w:left="-90" w:right="-432"/>
        <w:rPr>
          <w:rFonts w:ascii="Arial" w:hAnsi="Arial" w:cs="Arial"/>
          <w:sz w:val="20"/>
          <w:szCs w:val="20"/>
        </w:rPr>
      </w:pPr>
    </w:p>
    <w:p w14:paraId="2C5E9BE1" w14:textId="0DD372C6" w:rsidR="00656AF7" w:rsidRPr="001253DC" w:rsidRDefault="00656AF7" w:rsidP="003E378D">
      <w:pPr>
        <w:ind w:left="-90" w:right="-432"/>
        <w:rPr>
          <w:rFonts w:ascii="Arial" w:hAnsi="Arial" w:cs="Arial"/>
          <w:b/>
          <w:sz w:val="20"/>
          <w:szCs w:val="20"/>
        </w:rPr>
      </w:pPr>
      <w:r w:rsidRPr="001253DC">
        <w:rPr>
          <w:rFonts w:ascii="Arial" w:hAnsi="Arial" w:cs="Arial"/>
          <w:b/>
          <w:sz w:val="20"/>
          <w:szCs w:val="20"/>
        </w:rPr>
        <w:t xml:space="preserve">RE: </w:t>
      </w:r>
      <w:r w:rsidR="00C53CAB">
        <w:rPr>
          <w:rFonts w:ascii="Arial" w:hAnsi="Arial" w:cs="Arial"/>
          <w:b/>
          <w:sz w:val="20"/>
          <w:szCs w:val="20"/>
        </w:rPr>
        <w:t>Surplus Land Act Draft Guidelines</w:t>
      </w:r>
      <w:r w:rsidR="00682C8A" w:rsidRPr="001253DC">
        <w:rPr>
          <w:rFonts w:ascii="Arial" w:hAnsi="Arial" w:cs="Arial"/>
          <w:b/>
          <w:sz w:val="20"/>
          <w:szCs w:val="20"/>
        </w:rPr>
        <w:t xml:space="preserve"> </w:t>
      </w:r>
      <w:r w:rsidRPr="001253DC">
        <w:rPr>
          <w:rFonts w:ascii="Arial" w:hAnsi="Arial" w:cs="Arial"/>
          <w:b/>
          <w:sz w:val="20"/>
          <w:szCs w:val="20"/>
        </w:rPr>
        <w:t>[As</w:t>
      </w:r>
      <w:r w:rsidR="00A36D8C">
        <w:rPr>
          <w:rFonts w:ascii="Arial" w:hAnsi="Arial" w:cs="Arial"/>
          <w:b/>
          <w:sz w:val="20"/>
          <w:szCs w:val="20"/>
        </w:rPr>
        <w:t xml:space="preserve"> </w:t>
      </w:r>
      <w:r w:rsidR="00C53CAB">
        <w:rPr>
          <w:rFonts w:ascii="Arial" w:hAnsi="Arial" w:cs="Arial"/>
          <w:b/>
          <w:sz w:val="20"/>
          <w:szCs w:val="20"/>
        </w:rPr>
        <w:t>Issued November 13, 2020</w:t>
      </w:r>
      <w:r w:rsidRPr="001253DC">
        <w:rPr>
          <w:rFonts w:ascii="Arial" w:hAnsi="Arial" w:cs="Arial"/>
          <w:b/>
          <w:sz w:val="20"/>
          <w:szCs w:val="20"/>
        </w:rPr>
        <w:t>]</w:t>
      </w:r>
    </w:p>
    <w:p w14:paraId="448EE200" w14:textId="77777777" w:rsidR="00656AF7" w:rsidRPr="001253DC" w:rsidRDefault="00656AF7" w:rsidP="003E378D">
      <w:pPr>
        <w:ind w:left="-90" w:right="-432"/>
        <w:rPr>
          <w:rFonts w:ascii="Arial" w:hAnsi="Arial" w:cs="Arial"/>
          <w:sz w:val="20"/>
          <w:szCs w:val="20"/>
        </w:rPr>
      </w:pPr>
    </w:p>
    <w:p w14:paraId="3880FCFB" w14:textId="5D5F9EAE" w:rsidR="00656AF7" w:rsidRPr="001253DC" w:rsidRDefault="00F037EB" w:rsidP="003E378D">
      <w:pPr>
        <w:ind w:left="-90" w:right="-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Director Velasquez</w:t>
      </w:r>
      <w:r w:rsidR="00656AF7" w:rsidRPr="001253DC">
        <w:rPr>
          <w:rFonts w:ascii="Arial" w:hAnsi="Arial" w:cs="Arial"/>
          <w:sz w:val="20"/>
          <w:szCs w:val="20"/>
        </w:rPr>
        <w:t>:</w:t>
      </w:r>
    </w:p>
    <w:p w14:paraId="47760100" w14:textId="77777777" w:rsidR="00656AF7" w:rsidRPr="001253DC" w:rsidRDefault="00656AF7" w:rsidP="003E378D">
      <w:pPr>
        <w:ind w:left="-90" w:right="-432"/>
        <w:rPr>
          <w:rFonts w:ascii="Arial" w:hAnsi="Arial" w:cs="Arial"/>
          <w:sz w:val="20"/>
          <w:szCs w:val="20"/>
        </w:rPr>
      </w:pPr>
    </w:p>
    <w:p w14:paraId="0573B024" w14:textId="77777777" w:rsidR="005D7B22" w:rsidRDefault="00A51A6B" w:rsidP="00A32EA2">
      <w:pPr>
        <w:ind w:left="-90" w:right="-432"/>
        <w:rPr>
          <w:rFonts w:ascii="Arial" w:hAnsi="Arial" w:cs="Arial"/>
          <w:sz w:val="20"/>
          <w:szCs w:val="20"/>
        </w:rPr>
      </w:pPr>
      <w:r w:rsidRPr="001253DC">
        <w:rPr>
          <w:rFonts w:ascii="Arial" w:hAnsi="Arial" w:cs="Arial"/>
          <w:sz w:val="20"/>
          <w:szCs w:val="20"/>
        </w:rPr>
        <w:t xml:space="preserve">The </w:t>
      </w:r>
      <w:r w:rsidRPr="001253DC">
        <w:rPr>
          <w:rFonts w:ascii="Arial" w:hAnsi="Arial" w:cs="Arial"/>
          <w:b/>
          <w:sz w:val="20"/>
          <w:szCs w:val="20"/>
          <w:highlight w:val="yellow"/>
        </w:rPr>
        <w:t>[District name]</w:t>
      </w:r>
      <w:r w:rsidRPr="001253DC">
        <w:rPr>
          <w:rFonts w:ascii="Arial" w:hAnsi="Arial" w:cs="Arial"/>
          <w:b/>
          <w:sz w:val="20"/>
          <w:szCs w:val="20"/>
        </w:rPr>
        <w:t xml:space="preserve"> </w:t>
      </w:r>
      <w:r w:rsidR="001E2FCB">
        <w:rPr>
          <w:rFonts w:ascii="Arial" w:hAnsi="Arial" w:cs="Arial"/>
          <w:bCs/>
          <w:sz w:val="20"/>
          <w:szCs w:val="20"/>
        </w:rPr>
        <w:t xml:space="preserve">submits this letter in response to the California Department of Housing and Community Development (HCD) request for public comment on draft guidelines for the Surplus Land Act (SLA). </w:t>
      </w:r>
      <w:r w:rsidR="008A2688">
        <w:rPr>
          <w:rFonts w:ascii="Arial" w:hAnsi="Arial" w:cs="Arial"/>
          <w:b/>
          <w:sz w:val="20"/>
          <w:szCs w:val="20"/>
        </w:rPr>
        <w:t xml:space="preserve">Our district </w:t>
      </w:r>
      <w:r w:rsidR="003E378D">
        <w:rPr>
          <w:rFonts w:ascii="Arial" w:hAnsi="Arial" w:cs="Arial"/>
          <w:sz w:val="20"/>
          <w:szCs w:val="20"/>
        </w:rPr>
        <w:t>is respectfully opposed to</w:t>
      </w:r>
      <w:r w:rsidR="00A71FD5">
        <w:rPr>
          <w:rFonts w:ascii="Arial" w:hAnsi="Arial" w:cs="Arial"/>
          <w:sz w:val="20"/>
          <w:szCs w:val="20"/>
        </w:rPr>
        <w:t xml:space="preserve"> </w:t>
      </w:r>
      <w:r w:rsidR="001E2FCB">
        <w:rPr>
          <w:rFonts w:ascii="Arial" w:hAnsi="Arial" w:cs="Arial"/>
          <w:sz w:val="20"/>
          <w:szCs w:val="20"/>
        </w:rPr>
        <w:t>the draft guidelines</w:t>
      </w:r>
      <w:r w:rsidR="000F5A83">
        <w:rPr>
          <w:rFonts w:ascii="Arial" w:hAnsi="Arial" w:cs="Arial"/>
          <w:sz w:val="20"/>
          <w:szCs w:val="20"/>
        </w:rPr>
        <w:t xml:space="preserve"> unless </w:t>
      </w:r>
      <w:r w:rsidR="001E2FCB">
        <w:rPr>
          <w:rFonts w:ascii="Arial" w:hAnsi="Arial" w:cs="Arial"/>
          <w:sz w:val="20"/>
          <w:szCs w:val="20"/>
        </w:rPr>
        <w:t xml:space="preserve">they are </w:t>
      </w:r>
      <w:r w:rsidR="000F5A83">
        <w:rPr>
          <w:rFonts w:ascii="Arial" w:hAnsi="Arial" w:cs="Arial"/>
          <w:sz w:val="20"/>
          <w:szCs w:val="20"/>
        </w:rPr>
        <w:t xml:space="preserve">amended to address </w:t>
      </w:r>
      <w:r w:rsidR="008A2688">
        <w:rPr>
          <w:rFonts w:ascii="Arial" w:hAnsi="Arial" w:cs="Arial"/>
          <w:sz w:val="20"/>
          <w:szCs w:val="20"/>
        </w:rPr>
        <w:t>serious</w:t>
      </w:r>
      <w:r w:rsidR="000F5A83">
        <w:rPr>
          <w:rFonts w:ascii="Arial" w:hAnsi="Arial" w:cs="Arial"/>
          <w:sz w:val="20"/>
          <w:szCs w:val="20"/>
        </w:rPr>
        <w:t xml:space="preserve"> concerns. </w:t>
      </w:r>
    </w:p>
    <w:p w14:paraId="1EED9993" w14:textId="77777777" w:rsidR="005D7B22" w:rsidRDefault="005D7B22" w:rsidP="00A32EA2">
      <w:pPr>
        <w:ind w:left="-90" w:right="-432"/>
        <w:rPr>
          <w:rFonts w:ascii="Arial" w:hAnsi="Arial" w:cs="Arial"/>
          <w:sz w:val="20"/>
          <w:szCs w:val="20"/>
        </w:rPr>
      </w:pPr>
    </w:p>
    <w:p w14:paraId="15113259" w14:textId="4238FA78" w:rsidR="002E5F31" w:rsidRDefault="00A51A6B" w:rsidP="00A32EA2">
      <w:pPr>
        <w:ind w:left="-90" w:right="-432"/>
        <w:rPr>
          <w:rFonts w:ascii="Arial" w:hAnsi="Arial" w:cs="Arial"/>
          <w:b/>
          <w:sz w:val="20"/>
          <w:szCs w:val="20"/>
        </w:rPr>
      </w:pPr>
      <w:r w:rsidRPr="001253DC">
        <w:rPr>
          <w:rFonts w:ascii="Arial" w:hAnsi="Arial" w:cs="Arial"/>
          <w:b/>
          <w:sz w:val="20"/>
          <w:szCs w:val="20"/>
          <w:highlight w:val="yellow"/>
        </w:rPr>
        <w:t>[Include a brief description of your district]</w:t>
      </w:r>
    </w:p>
    <w:p w14:paraId="1CAB8C07" w14:textId="7C27A2FC" w:rsidR="005D7B22" w:rsidRDefault="005D7B22" w:rsidP="00A32EA2">
      <w:pPr>
        <w:ind w:left="-90" w:right="-432"/>
        <w:rPr>
          <w:rFonts w:ascii="Arial" w:hAnsi="Arial" w:cs="Arial"/>
          <w:b/>
          <w:sz w:val="20"/>
          <w:szCs w:val="20"/>
        </w:rPr>
      </w:pPr>
    </w:p>
    <w:p w14:paraId="1F6D35B5" w14:textId="77777777" w:rsidR="005D7B22" w:rsidRPr="001253DC" w:rsidRDefault="005D7B22" w:rsidP="005D7B22">
      <w:pPr>
        <w:pStyle w:val="ListParagraph"/>
        <w:ind w:left="-90"/>
        <w:rPr>
          <w:rFonts w:ascii="Arial" w:hAnsi="Arial" w:cs="Arial"/>
          <w:b/>
          <w:sz w:val="20"/>
          <w:szCs w:val="20"/>
        </w:rPr>
      </w:pPr>
      <w:r w:rsidRPr="001253DC">
        <w:rPr>
          <w:rFonts w:ascii="Arial" w:hAnsi="Arial" w:cs="Arial"/>
          <w:b/>
          <w:sz w:val="20"/>
          <w:szCs w:val="20"/>
          <w:highlight w:val="yellow"/>
        </w:rPr>
        <w:t xml:space="preserve">[Provide a specific explanation of how the 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HCD draft guidelines </w:t>
      </w:r>
      <w:r w:rsidRPr="001253DC">
        <w:rPr>
          <w:rFonts w:ascii="Arial" w:hAnsi="Arial" w:cs="Arial"/>
          <w:b/>
          <w:sz w:val="20"/>
          <w:szCs w:val="20"/>
          <w:highlight w:val="yellow"/>
        </w:rPr>
        <w:t xml:space="preserve">will negatively impact your 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district, </w:t>
      </w:r>
      <w:r w:rsidRPr="001253DC">
        <w:rPr>
          <w:rFonts w:ascii="Arial" w:hAnsi="Arial" w:cs="Arial"/>
          <w:b/>
          <w:sz w:val="20"/>
          <w:szCs w:val="20"/>
          <w:highlight w:val="yellow"/>
        </w:rPr>
        <w:t xml:space="preserve">community and region.  </w:t>
      </w:r>
      <w:r>
        <w:rPr>
          <w:rFonts w:ascii="Arial" w:hAnsi="Arial" w:cs="Arial"/>
          <w:b/>
          <w:sz w:val="20"/>
          <w:szCs w:val="20"/>
          <w:highlight w:val="yellow"/>
        </w:rPr>
        <w:t>W</w:t>
      </w:r>
      <w:r w:rsidRPr="001253DC">
        <w:rPr>
          <w:rFonts w:ascii="Arial" w:hAnsi="Arial" w:cs="Arial"/>
          <w:b/>
          <w:sz w:val="20"/>
          <w:szCs w:val="20"/>
          <w:highlight w:val="yellow"/>
        </w:rPr>
        <w:t>ould your district be inhibited from making or renewing any current or future lease of land?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To the extent possible, describe the situation specifically.</w:t>
      </w:r>
      <w:r w:rsidRPr="001253DC">
        <w:rPr>
          <w:rFonts w:ascii="Arial" w:hAnsi="Arial" w:cs="Arial"/>
          <w:b/>
          <w:sz w:val="20"/>
          <w:szCs w:val="20"/>
          <w:highlight w:val="yellow"/>
        </w:rPr>
        <w:t>]</w:t>
      </w:r>
    </w:p>
    <w:p w14:paraId="17A49177" w14:textId="77777777" w:rsidR="005D7B22" w:rsidRPr="001253DC" w:rsidRDefault="005D7B22" w:rsidP="00A32EA2">
      <w:pPr>
        <w:ind w:left="-90" w:right="-432"/>
        <w:rPr>
          <w:rFonts w:ascii="Arial" w:hAnsi="Arial" w:cs="Arial"/>
          <w:sz w:val="20"/>
          <w:szCs w:val="20"/>
        </w:rPr>
      </w:pPr>
    </w:p>
    <w:p w14:paraId="4FC52F89" w14:textId="77777777" w:rsidR="002E5F31" w:rsidRPr="001253DC" w:rsidRDefault="002E5F31" w:rsidP="00A32EA2">
      <w:pPr>
        <w:ind w:left="-90" w:right="-432"/>
        <w:rPr>
          <w:rFonts w:ascii="Arial" w:hAnsi="Arial" w:cs="Arial"/>
          <w:sz w:val="20"/>
          <w:szCs w:val="20"/>
        </w:rPr>
      </w:pPr>
    </w:p>
    <w:p w14:paraId="420F030C" w14:textId="33C5FE56" w:rsidR="001E40CE" w:rsidRDefault="008A2688" w:rsidP="00A32EA2">
      <w:pPr>
        <w:ind w:left="-90" w:right="-43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draft guidelines were presumably promulgated to assist HCD with the implementation of AB 1486 (Ting), which mandates local agencies adhere to certain requirements when disposing surplus land</w:t>
      </w:r>
      <w:r w:rsidRPr="001253D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1E40CE">
        <w:rPr>
          <w:rFonts w:ascii="Arial" w:hAnsi="Arial" w:cs="Arial"/>
          <w:sz w:val="20"/>
          <w:szCs w:val="20"/>
        </w:rPr>
        <w:t xml:space="preserve">Specifically, </w:t>
      </w:r>
      <w:r w:rsidR="001E40CE" w:rsidRPr="001253DC">
        <w:rPr>
          <w:rFonts w:ascii="Arial" w:hAnsi="Arial" w:cs="Arial"/>
          <w:b/>
          <w:sz w:val="20"/>
          <w:szCs w:val="20"/>
          <w:highlight w:val="yellow"/>
        </w:rPr>
        <w:t>[District name]</w:t>
      </w:r>
      <w:r w:rsidR="001E40CE" w:rsidRPr="001253DC">
        <w:rPr>
          <w:rFonts w:ascii="Arial" w:hAnsi="Arial" w:cs="Arial"/>
          <w:b/>
          <w:sz w:val="20"/>
          <w:szCs w:val="20"/>
        </w:rPr>
        <w:t xml:space="preserve"> </w:t>
      </w:r>
      <w:r w:rsidR="001E40CE">
        <w:rPr>
          <w:rFonts w:ascii="Arial" w:hAnsi="Arial" w:cs="Arial"/>
          <w:bCs/>
          <w:sz w:val="20"/>
          <w:szCs w:val="20"/>
        </w:rPr>
        <w:t>is opposed to the guidelines as currently drafted because:</w:t>
      </w:r>
    </w:p>
    <w:p w14:paraId="030C8ED8" w14:textId="13D0937E" w:rsidR="001E40CE" w:rsidRDefault="001E40CE" w:rsidP="00A32EA2">
      <w:pPr>
        <w:ind w:left="-90" w:right="-432"/>
        <w:rPr>
          <w:rFonts w:ascii="Arial" w:hAnsi="Arial" w:cs="Arial"/>
          <w:bCs/>
          <w:sz w:val="20"/>
          <w:szCs w:val="20"/>
        </w:rPr>
      </w:pPr>
    </w:p>
    <w:p w14:paraId="5AB7B8DF" w14:textId="2C7ACD9A" w:rsidR="0035094D" w:rsidRDefault="001E40CE" w:rsidP="001E40CE">
      <w:pPr>
        <w:pStyle w:val="ListParagraph"/>
        <w:numPr>
          <w:ilvl w:val="0"/>
          <w:numId w:val="3"/>
        </w:numPr>
        <w:ind w:right="-43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102(</w:t>
      </w:r>
      <w:proofErr w:type="spellStart"/>
      <w:r>
        <w:rPr>
          <w:rFonts w:ascii="Arial" w:hAnsi="Arial" w:cs="Arial"/>
          <w:b/>
          <w:sz w:val="20"/>
          <w:szCs w:val="20"/>
        </w:rPr>
        <w:t>i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of the </w:t>
      </w:r>
      <w:r w:rsidR="005970D1">
        <w:rPr>
          <w:rFonts w:ascii="Arial" w:hAnsi="Arial" w:cs="Arial"/>
          <w:bCs/>
          <w:sz w:val="20"/>
          <w:szCs w:val="20"/>
        </w:rPr>
        <w:t>draft</w:t>
      </w:r>
      <w:r>
        <w:rPr>
          <w:rFonts w:ascii="Arial" w:hAnsi="Arial" w:cs="Arial"/>
          <w:bCs/>
          <w:sz w:val="20"/>
          <w:szCs w:val="20"/>
        </w:rPr>
        <w:t xml:space="preserve"> guidelines provides an inaccurate definition for </w:t>
      </w:r>
      <w:r w:rsidR="0035094D">
        <w:rPr>
          <w:rFonts w:ascii="Arial" w:hAnsi="Arial" w:cs="Arial"/>
          <w:bCs/>
          <w:sz w:val="20"/>
          <w:szCs w:val="20"/>
        </w:rPr>
        <w:t xml:space="preserve">“disposition of surplus land” that has no basis under the law. HCD fails to provide any support for the conclusion that “disposition of surplus land” includes sale </w:t>
      </w:r>
      <w:r w:rsidR="0035094D" w:rsidRPr="00F037EB">
        <w:rPr>
          <w:rFonts w:ascii="Arial" w:hAnsi="Arial" w:cs="Arial"/>
          <w:b/>
          <w:i/>
          <w:iCs/>
          <w:sz w:val="20"/>
          <w:szCs w:val="20"/>
          <w:u w:val="single"/>
        </w:rPr>
        <w:t>or lease</w:t>
      </w:r>
      <w:r w:rsidR="0035094D">
        <w:rPr>
          <w:rFonts w:ascii="Arial" w:hAnsi="Arial" w:cs="Arial"/>
          <w:bCs/>
          <w:sz w:val="20"/>
          <w:szCs w:val="20"/>
        </w:rPr>
        <w:t xml:space="preserve"> of local agency-owned land formally declared surplus</w:t>
      </w:r>
      <w:r w:rsidR="00CE0869">
        <w:rPr>
          <w:rFonts w:ascii="Arial" w:hAnsi="Arial" w:cs="Arial"/>
          <w:bCs/>
          <w:sz w:val="20"/>
          <w:szCs w:val="20"/>
        </w:rPr>
        <w:t>:</w:t>
      </w:r>
      <w:r w:rsidR="0035094D">
        <w:rPr>
          <w:rFonts w:ascii="Arial" w:hAnsi="Arial" w:cs="Arial"/>
          <w:bCs/>
          <w:sz w:val="20"/>
          <w:szCs w:val="20"/>
        </w:rPr>
        <w:t xml:space="preserve"> </w:t>
      </w:r>
    </w:p>
    <w:p w14:paraId="43B703E5" w14:textId="1C207D94" w:rsidR="001E40CE" w:rsidRDefault="0035094D" w:rsidP="0035094D">
      <w:pPr>
        <w:pStyle w:val="ListParagraph"/>
        <w:numPr>
          <w:ilvl w:val="1"/>
          <w:numId w:val="3"/>
        </w:numPr>
        <w:ind w:right="-432"/>
        <w:rPr>
          <w:rFonts w:ascii="Arial" w:hAnsi="Arial" w:cs="Arial"/>
          <w:bCs/>
          <w:sz w:val="20"/>
          <w:szCs w:val="20"/>
        </w:rPr>
      </w:pPr>
      <w:r w:rsidRPr="0035094D">
        <w:rPr>
          <w:rFonts w:ascii="Arial" w:hAnsi="Arial" w:cs="Arial"/>
          <w:bCs/>
          <w:sz w:val="20"/>
          <w:szCs w:val="20"/>
        </w:rPr>
        <w:t xml:space="preserve">Not a single statute referenced </w:t>
      </w:r>
      <w:r>
        <w:rPr>
          <w:rFonts w:ascii="Arial" w:hAnsi="Arial" w:cs="Arial"/>
          <w:bCs/>
          <w:sz w:val="20"/>
          <w:szCs w:val="20"/>
        </w:rPr>
        <w:t xml:space="preserve">by the guidelines </w:t>
      </w:r>
      <w:r w:rsidRPr="0035094D">
        <w:rPr>
          <w:rFonts w:ascii="Arial" w:hAnsi="Arial" w:cs="Arial"/>
          <w:bCs/>
          <w:sz w:val="20"/>
          <w:szCs w:val="20"/>
        </w:rPr>
        <w:t>defines “dispose” or “</w:t>
      </w:r>
      <w:r>
        <w:rPr>
          <w:rFonts w:ascii="Arial" w:hAnsi="Arial" w:cs="Arial"/>
          <w:bCs/>
          <w:sz w:val="20"/>
          <w:szCs w:val="20"/>
        </w:rPr>
        <w:t>disposition</w:t>
      </w:r>
      <w:r w:rsidRPr="0035094D">
        <w:rPr>
          <w:rFonts w:ascii="Arial" w:hAnsi="Arial" w:cs="Arial"/>
          <w:bCs/>
          <w:sz w:val="20"/>
          <w:szCs w:val="20"/>
        </w:rPr>
        <w:t xml:space="preserve">” nor addresses whether an agency leasing surplus land for non-housing purposes constitutes </w:t>
      </w:r>
      <w:r w:rsidR="0014352F">
        <w:rPr>
          <w:rFonts w:ascii="Arial" w:hAnsi="Arial" w:cs="Arial"/>
          <w:bCs/>
          <w:sz w:val="20"/>
          <w:szCs w:val="20"/>
        </w:rPr>
        <w:t xml:space="preserve">a </w:t>
      </w:r>
      <w:r w:rsidRPr="0035094D">
        <w:rPr>
          <w:rFonts w:ascii="Arial" w:hAnsi="Arial" w:cs="Arial"/>
          <w:bCs/>
          <w:sz w:val="20"/>
          <w:szCs w:val="20"/>
        </w:rPr>
        <w:t>disposition under the SLA.</w:t>
      </w:r>
    </w:p>
    <w:p w14:paraId="02C633D9" w14:textId="622208B0" w:rsidR="0035094D" w:rsidRDefault="0035094D" w:rsidP="0035094D">
      <w:pPr>
        <w:pStyle w:val="ListParagraph"/>
        <w:numPr>
          <w:ilvl w:val="1"/>
          <w:numId w:val="3"/>
        </w:numPr>
        <w:ind w:right="-432"/>
        <w:rPr>
          <w:rFonts w:ascii="Arial" w:hAnsi="Arial" w:cs="Arial"/>
          <w:bCs/>
          <w:sz w:val="20"/>
          <w:szCs w:val="20"/>
        </w:rPr>
      </w:pPr>
      <w:r w:rsidRPr="0035094D">
        <w:rPr>
          <w:rFonts w:ascii="Arial" w:hAnsi="Arial" w:cs="Arial"/>
          <w:bCs/>
          <w:sz w:val="20"/>
          <w:szCs w:val="20"/>
        </w:rPr>
        <w:t>The plain text of the SLA, Cal. Government Code §§ 54220 – 54234, does not define “dispose” or “disposition” to include leasing</w:t>
      </w:r>
      <w:r>
        <w:rPr>
          <w:rFonts w:ascii="Arial" w:hAnsi="Arial" w:cs="Arial"/>
          <w:bCs/>
          <w:sz w:val="20"/>
          <w:szCs w:val="20"/>
        </w:rPr>
        <w:t>.</w:t>
      </w:r>
    </w:p>
    <w:p w14:paraId="4EB430B0" w14:textId="1F11B83E" w:rsidR="0035094D" w:rsidRDefault="0035094D" w:rsidP="0035094D">
      <w:pPr>
        <w:pStyle w:val="ListParagraph"/>
        <w:numPr>
          <w:ilvl w:val="1"/>
          <w:numId w:val="3"/>
        </w:numPr>
        <w:ind w:right="-432"/>
        <w:rPr>
          <w:rFonts w:ascii="Arial" w:hAnsi="Arial" w:cs="Arial"/>
          <w:bCs/>
          <w:sz w:val="20"/>
          <w:szCs w:val="20"/>
        </w:rPr>
      </w:pPr>
      <w:r w:rsidRPr="0035094D">
        <w:rPr>
          <w:rFonts w:ascii="Arial" w:hAnsi="Arial" w:cs="Arial"/>
          <w:bCs/>
          <w:sz w:val="20"/>
          <w:szCs w:val="20"/>
        </w:rPr>
        <w:t xml:space="preserve">We can find no precedent or example of any California Appellate Court making the determination that a public agency leasing surplus land is </w:t>
      </w:r>
      <w:r>
        <w:rPr>
          <w:rFonts w:ascii="Arial" w:hAnsi="Arial" w:cs="Arial"/>
          <w:bCs/>
          <w:sz w:val="20"/>
          <w:szCs w:val="20"/>
        </w:rPr>
        <w:t xml:space="preserve">a </w:t>
      </w:r>
      <w:r w:rsidRPr="0035094D">
        <w:rPr>
          <w:rFonts w:ascii="Arial" w:hAnsi="Arial" w:cs="Arial"/>
          <w:bCs/>
          <w:sz w:val="20"/>
          <w:szCs w:val="20"/>
        </w:rPr>
        <w:t>“</w:t>
      </w:r>
      <w:r>
        <w:rPr>
          <w:rFonts w:ascii="Arial" w:hAnsi="Arial" w:cs="Arial"/>
          <w:bCs/>
          <w:sz w:val="20"/>
          <w:szCs w:val="20"/>
        </w:rPr>
        <w:t>disposition</w:t>
      </w:r>
      <w:r w:rsidRPr="0035094D">
        <w:rPr>
          <w:rFonts w:ascii="Arial" w:hAnsi="Arial" w:cs="Arial"/>
          <w:bCs/>
          <w:sz w:val="20"/>
          <w:szCs w:val="20"/>
        </w:rPr>
        <w:t>” of that surplus land.</w:t>
      </w:r>
    </w:p>
    <w:p w14:paraId="16E37D81" w14:textId="6FB9899A" w:rsidR="0035094D" w:rsidRDefault="0035094D" w:rsidP="0035094D">
      <w:pPr>
        <w:pStyle w:val="ListParagraph"/>
        <w:numPr>
          <w:ilvl w:val="1"/>
          <w:numId w:val="3"/>
        </w:numPr>
        <w:ind w:right="-432"/>
        <w:rPr>
          <w:rFonts w:ascii="Arial" w:hAnsi="Arial" w:cs="Arial"/>
          <w:bCs/>
          <w:sz w:val="20"/>
          <w:szCs w:val="20"/>
        </w:rPr>
      </w:pPr>
      <w:r w:rsidRPr="0035094D">
        <w:rPr>
          <w:rFonts w:ascii="Arial" w:hAnsi="Arial" w:cs="Arial"/>
          <w:bCs/>
          <w:sz w:val="20"/>
          <w:szCs w:val="20"/>
        </w:rPr>
        <w:t>The California Legislature excluded leasing from the definition of “dispose,” by amending AB 1486 in the legislative process</w:t>
      </w:r>
      <w:r>
        <w:rPr>
          <w:rFonts w:ascii="Arial" w:hAnsi="Arial" w:cs="Arial"/>
          <w:bCs/>
          <w:sz w:val="20"/>
          <w:szCs w:val="20"/>
        </w:rPr>
        <w:t xml:space="preserve"> to</w:t>
      </w:r>
      <w:r w:rsidRPr="0035094D">
        <w:rPr>
          <w:rFonts w:ascii="Arial" w:hAnsi="Arial" w:cs="Arial"/>
          <w:bCs/>
          <w:sz w:val="20"/>
          <w:szCs w:val="20"/>
        </w:rPr>
        <w:t xml:space="preserve"> specifically remove any use of the phrase “lease” or “leasing” in conjunction with </w:t>
      </w:r>
      <w:r>
        <w:rPr>
          <w:rFonts w:ascii="Arial" w:hAnsi="Arial" w:cs="Arial"/>
          <w:bCs/>
          <w:sz w:val="20"/>
          <w:szCs w:val="20"/>
        </w:rPr>
        <w:t>disposition of surplus land</w:t>
      </w:r>
      <w:r w:rsidRPr="0035094D">
        <w:rPr>
          <w:rFonts w:ascii="Arial" w:hAnsi="Arial" w:cs="Arial"/>
          <w:bCs/>
          <w:sz w:val="20"/>
          <w:szCs w:val="20"/>
        </w:rPr>
        <w:t xml:space="preserve"> and removed  any definition provided for “dispose</w:t>
      </w:r>
      <w:r>
        <w:rPr>
          <w:rFonts w:ascii="Arial" w:hAnsi="Arial" w:cs="Arial"/>
          <w:bCs/>
          <w:sz w:val="20"/>
          <w:szCs w:val="20"/>
        </w:rPr>
        <w:t>.</w:t>
      </w:r>
      <w:r w:rsidRPr="0035094D">
        <w:rPr>
          <w:rFonts w:ascii="Arial" w:hAnsi="Arial" w:cs="Arial"/>
          <w:bCs/>
          <w:sz w:val="20"/>
          <w:szCs w:val="20"/>
        </w:rPr>
        <w:t>”</w:t>
      </w:r>
    </w:p>
    <w:p w14:paraId="67D57CA1" w14:textId="77777777" w:rsidR="0035094D" w:rsidRDefault="0035094D" w:rsidP="0035094D">
      <w:pPr>
        <w:pStyle w:val="ListParagraph"/>
        <w:ind w:left="1350" w:right="-432"/>
        <w:rPr>
          <w:rFonts w:ascii="Arial" w:hAnsi="Arial" w:cs="Arial"/>
          <w:bCs/>
          <w:sz w:val="20"/>
          <w:szCs w:val="20"/>
        </w:rPr>
      </w:pPr>
    </w:p>
    <w:p w14:paraId="5BC3DDF5" w14:textId="7A354E2D" w:rsidR="005970D1" w:rsidRDefault="0014352F" w:rsidP="0014352F">
      <w:pPr>
        <w:pStyle w:val="ListParagraph"/>
        <w:numPr>
          <w:ilvl w:val="0"/>
          <w:numId w:val="3"/>
        </w:numPr>
        <w:ind w:right="-43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103(b)(3)</w:t>
      </w:r>
      <w:r>
        <w:rPr>
          <w:rFonts w:ascii="Arial" w:hAnsi="Arial" w:cs="Arial"/>
          <w:bCs/>
          <w:sz w:val="20"/>
          <w:szCs w:val="20"/>
        </w:rPr>
        <w:t xml:space="preserve"> of the </w:t>
      </w:r>
      <w:r w:rsidR="005970D1">
        <w:rPr>
          <w:rFonts w:ascii="Arial" w:hAnsi="Arial" w:cs="Arial"/>
          <w:bCs/>
          <w:sz w:val="20"/>
          <w:szCs w:val="20"/>
        </w:rPr>
        <w:t>draft</w:t>
      </w:r>
      <w:r>
        <w:rPr>
          <w:rFonts w:ascii="Arial" w:hAnsi="Arial" w:cs="Arial"/>
          <w:bCs/>
          <w:sz w:val="20"/>
          <w:szCs w:val="20"/>
        </w:rPr>
        <w:t xml:space="preserve"> guidelines, covering surplus land exemptions, fails to include a specific classification for exempt surplus land found in the SLA pursuant to Government Code section 54221(f)(1)(J), which plainly states that r</w:t>
      </w:r>
      <w:r w:rsidRPr="0014352F">
        <w:rPr>
          <w:rFonts w:ascii="Arial" w:hAnsi="Arial" w:cs="Arial"/>
          <w:bCs/>
          <w:sz w:val="20"/>
          <w:szCs w:val="20"/>
        </w:rPr>
        <w:t xml:space="preserve">eal property that is used by a district for agency’s use expressly authorized in </w:t>
      </w:r>
      <w:r>
        <w:rPr>
          <w:rFonts w:ascii="Arial" w:hAnsi="Arial" w:cs="Arial"/>
          <w:bCs/>
          <w:sz w:val="20"/>
          <w:szCs w:val="20"/>
        </w:rPr>
        <w:t>54221</w:t>
      </w:r>
      <w:r w:rsidRPr="0014352F">
        <w:rPr>
          <w:rFonts w:ascii="Arial" w:hAnsi="Arial" w:cs="Arial"/>
          <w:bCs/>
          <w:sz w:val="20"/>
          <w:szCs w:val="20"/>
        </w:rPr>
        <w:t>(c)</w:t>
      </w:r>
      <w:r>
        <w:rPr>
          <w:rFonts w:ascii="Arial" w:hAnsi="Arial" w:cs="Arial"/>
          <w:bCs/>
          <w:sz w:val="20"/>
          <w:szCs w:val="20"/>
        </w:rPr>
        <w:t xml:space="preserve"> is exempt surplus land. </w:t>
      </w:r>
      <w:r w:rsidRPr="0014352F">
        <w:rPr>
          <w:rFonts w:ascii="Arial" w:hAnsi="Arial" w:cs="Arial"/>
          <w:bCs/>
          <w:sz w:val="20"/>
          <w:szCs w:val="20"/>
        </w:rPr>
        <w:t xml:space="preserve">This omission must be corrected by </w:t>
      </w:r>
      <w:r w:rsidR="005970D1">
        <w:rPr>
          <w:rFonts w:ascii="Arial" w:hAnsi="Arial" w:cs="Arial"/>
          <w:bCs/>
          <w:sz w:val="20"/>
          <w:szCs w:val="20"/>
        </w:rPr>
        <w:t>revising the HCD guidelines to include</w:t>
      </w:r>
      <w:r w:rsidRPr="0014352F">
        <w:rPr>
          <w:rFonts w:ascii="Arial" w:hAnsi="Arial" w:cs="Arial"/>
          <w:bCs/>
          <w:sz w:val="20"/>
          <w:szCs w:val="20"/>
        </w:rPr>
        <w:t xml:space="preserve"> a </w:t>
      </w:r>
      <w:r>
        <w:rPr>
          <w:rFonts w:ascii="Arial" w:hAnsi="Arial" w:cs="Arial"/>
          <w:bCs/>
          <w:sz w:val="20"/>
          <w:szCs w:val="20"/>
        </w:rPr>
        <w:t xml:space="preserve">discussion of </w:t>
      </w:r>
      <w:r w:rsidR="005970D1">
        <w:rPr>
          <w:rFonts w:ascii="Arial" w:hAnsi="Arial" w:cs="Arial"/>
          <w:bCs/>
          <w:sz w:val="20"/>
          <w:szCs w:val="20"/>
        </w:rPr>
        <w:t>the exempt surplus land classification permitted under section 54221(f)(1)(J).</w:t>
      </w:r>
    </w:p>
    <w:p w14:paraId="79D81F68" w14:textId="77777777" w:rsidR="005970D1" w:rsidRDefault="005970D1" w:rsidP="005970D1">
      <w:pPr>
        <w:pStyle w:val="ListParagraph"/>
        <w:ind w:left="630" w:right="-432"/>
        <w:rPr>
          <w:rFonts w:ascii="Arial" w:hAnsi="Arial" w:cs="Arial"/>
          <w:bCs/>
          <w:sz w:val="20"/>
          <w:szCs w:val="20"/>
        </w:rPr>
      </w:pPr>
    </w:p>
    <w:p w14:paraId="5ABD853E" w14:textId="0D433F1B" w:rsidR="001253DC" w:rsidRPr="00DF488B" w:rsidRDefault="005970D1" w:rsidP="00DF488B">
      <w:pPr>
        <w:pStyle w:val="ListParagraph"/>
        <w:numPr>
          <w:ilvl w:val="0"/>
          <w:numId w:val="3"/>
        </w:numPr>
        <w:ind w:right="-43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Section 400(e)</w:t>
      </w:r>
      <w:r>
        <w:rPr>
          <w:rFonts w:ascii="Arial" w:hAnsi="Arial" w:cs="Arial"/>
          <w:bCs/>
          <w:sz w:val="20"/>
          <w:szCs w:val="20"/>
        </w:rPr>
        <w:t xml:space="preserve"> of the draft guidelines, requiring an agency to provide HCD with written findings and a “notice of exemption determination” at least 30 days prior to disposition of exempt surplus land,</w:t>
      </w:r>
      <w:r w:rsidR="00DF488B">
        <w:rPr>
          <w:rFonts w:ascii="Arial" w:hAnsi="Arial" w:cs="Arial"/>
          <w:bCs/>
          <w:sz w:val="20"/>
          <w:szCs w:val="20"/>
        </w:rPr>
        <w:t xml:space="preserve"> has no basis under the SLA. </w:t>
      </w:r>
    </w:p>
    <w:p w14:paraId="33AD79A2" w14:textId="77777777" w:rsidR="001253DC" w:rsidRPr="001253DC" w:rsidRDefault="001253DC" w:rsidP="00A32EA2">
      <w:pPr>
        <w:ind w:left="-90" w:right="-432"/>
        <w:rPr>
          <w:rFonts w:ascii="Arial" w:hAnsi="Arial" w:cs="Arial"/>
          <w:sz w:val="20"/>
          <w:szCs w:val="20"/>
        </w:rPr>
      </w:pPr>
    </w:p>
    <w:p w14:paraId="21201B16" w14:textId="52BA1DDC" w:rsidR="002E5F31" w:rsidRPr="001253DC" w:rsidRDefault="00682C8A" w:rsidP="00A32EA2">
      <w:pPr>
        <w:ind w:left="-90" w:right="-432"/>
        <w:rPr>
          <w:rFonts w:ascii="Arial" w:hAnsi="Arial" w:cs="Arial"/>
          <w:sz w:val="20"/>
          <w:szCs w:val="20"/>
        </w:rPr>
      </w:pPr>
      <w:r w:rsidRPr="001253DC">
        <w:rPr>
          <w:rFonts w:ascii="Arial" w:hAnsi="Arial" w:cs="Arial"/>
          <w:sz w:val="20"/>
          <w:szCs w:val="20"/>
        </w:rPr>
        <w:t>Under</w:t>
      </w:r>
      <w:r w:rsidR="00DF488B">
        <w:rPr>
          <w:rFonts w:ascii="Arial" w:hAnsi="Arial" w:cs="Arial"/>
          <w:sz w:val="20"/>
          <w:szCs w:val="20"/>
        </w:rPr>
        <w:t xml:space="preserve"> the draft guidelines</w:t>
      </w:r>
      <w:r w:rsidRPr="001253DC">
        <w:rPr>
          <w:rFonts w:ascii="Arial" w:hAnsi="Arial" w:cs="Arial"/>
          <w:sz w:val="20"/>
          <w:szCs w:val="20"/>
        </w:rPr>
        <w:t>, attempting to lease land in support of a</w:t>
      </w:r>
      <w:r w:rsidR="000F5A83">
        <w:rPr>
          <w:rFonts w:ascii="Arial" w:hAnsi="Arial" w:cs="Arial"/>
          <w:sz w:val="20"/>
          <w:szCs w:val="20"/>
        </w:rPr>
        <w:t xml:space="preserve">n agency’s </w:t>
      </w:r>
      <w:r w:rsidRPr="001253DC">
        <w:rPr>
          <w:rFonts w:ascii="Arial" w:hAnsi="Arial" w:cs="Arial"/>
          <w:sz w:val="20"/>
          <w:szCs w:val="20"/>
        </w:rPr>
        <w:t xml:space="preserve">governmental function would trigger the requirements for the disposal of surplus land. </w:t>
      </w:r>
      <w:r w:rsidR="00DF488B">
        <w:rPr>
          <w:rFonts w:ascii="Arial" w:hAnsi="Arial" w:cs="Arial"/>
          <w:sz w:val="20"/>
          <w:szCs w:val="20"/>
        </w:rPr>
        <w:t xml:space="preserve">The guidelines </w:t>
      </w:r>
      <w:r w:rsidRPr="001253DC">
        <w:rPr>
          <w:rFonts w:ascii="Arial" w:hAnsi="Arial" w:cs="Arial"/>
          <w:sz w:val="20"/>
          <w:szCs w:val="20"/>
        </w:rPr>
        <w:t xml:space="preserve">would </w:t>
      </w:r>
      <w:r w:rsidR="001253DC">
        <w:rPr>
          <w:rFonts w:ascii="Arial" w:hAnsi="Arial" w:cs="Arial"/>
          <w:sz w:val="20"/>
          <w:szCs w:val="20"/>
        </w:rPr>
        <w:t>also make it more difficult to protect a</w:t>
      </w:r>
      <w:r w:rsidR="000F5A83">
        <w:rPr>
          <w:rFonts w:ascii="Arial" w:hAnsi="Arial" w:cs="Arial"/>
          <w:sz w:val="20"/>
          <w:szCs w:val="20"/>
        </w:rPr>
        <w:t xml:space="preserve">n agency’s </w:t>
      </w:r>
      <w:r w:rsidR="001253DC">
        <w:rPr>
          <w:rFonts w:ascii="Arial" w:hAnsi="Arial" w:cs="Arial"/>
          <w:sz w:val="20"/>
          <w:szCs w:val="20"/>
        </w:rPr>
        <w:t xml:space="preserve">land for </w:t>
      </w:r>
      <w:r w:rsidR="00DF488B">
        <w:rPr>
          <w:rFonts w:ascii="Arial" w:hAnsi="Arial" w:cs="Arial"/>
          <w:sz w:val="20"/>
          <w:szCs w:val="20"/>
        </w:rPr>
        <w:t xml:space="preserve">critical </w:t>
      </w:r>
      <w:r w:rsidR="001253DC">
        <w:rPr>
          <w:rFonts w:ascii="Arial" w:hAnsi="Arial" w:cs="Arial"/>
          <w:sz w:val="20"/>
          <w:szCs w:val="20"/>
        </w:rPr>
        <w:t>governmental use</w:t>
      </w:r>
      <w:r w:rsidR="00DF488B">
        <w:rPr>
          <w:rFonts w:ascii="Arial" w:hAnsi="Arial" w:cs="Arial"/>
          <w:sz w:val="20"/>
          <w:szCs w:val="20"/>
        </w:rPr>
        <w:t xml:space="preserve"> and planning purposes</w:t>
      </w:r>
      <w:r w:rsidR="001253DC">
        <w:rPr>
          <w:rFonts w:ascii="Arial" w:hAnsi="Arial" w:cs="Arial"/>
          <w:sz w:val="20"/>
          <w:szCs w:val="20"/>
        </w:rPr>
        <w:t>.</w:t>
      </w:r>
    </w:p>
    <w:p w14:paraId="67BBEFA9" w14:textId="77777777" w:rsidR="00682C8A" w:rsidRPr="001253DC" w:rsidRDefault="00682C8A" w:rsidP="00A32EA2">
      <w:pPr>
        <w:ind w:left="-90" w:right="-432"/>
        <w:rPr>
          <w:rFonts w:ascii="Arial" w:hAnsi="Arial" w:cs="Arial"/>
          <w:sz w:val="20"/>
          <w:szCs w:val="20"/>
        </w:rPr>
      </w:pPr>
    </w:p>
    <w:p w14:paraId="27197EA8" w14:textId="77777777" w:rsidR="0096346A" w:rsidRPr="001253DC" w:rsidRDefault="0096346A" w:rsidP="008E69A9">
      <w:pPr>
        <w:pStyle w:val="ListParagraph"/>
        <w:ind w:left="-90"/>
        <w:rPr>
          <w:rFonts w:ascii="Arial" w:hAnsi="Arial" w:cs="Arial"/>
          <w:b/>
          <w:sz w:val="20"/>
          <w:szCs w:val="20"/>
        </w:rPr>
      </w:pPr>
    </w:p>
    <w:p w14:paraId="181CCDC6" w14:textId="071AA98A" w:rsidR="0096346A" w:rsidRPr="001253DC" w:rsidRDefault="0096346A" w:rsidP="008E69A9">
      <w:pPr>
        <w:pStyle w:val="ListParagraph"/>
        <w:ind w:left="-90"/>
        <w:rPr>
          <w:rFonts w:ascii="Arial" w:hAnsi="Arial" w:cs="Arial"/>
          <w:sz w:val="20"/>
          <w:szCs w:val="20"/>
        </w:rPr>
      </w:pPr>
      <w:r w:rsidRPr="001253DC">
        <w:rPr>
          <w:rFonts w:ascii="Arial" w:hAnsi="Arial" w:cs="Arial"/>
          <w:sz w:val="20"/>
          <w:szCs w:val="20"/>
        </w:rPr>
        <w:t xml:space="preserve">Our </w:t>
      </w:r>
      <w:r w:rsidR="003E378D">
        <w:rPr>
          <w:rFonts w:ascii="Arial" w:hAnsi="Arial" w:cs="Arial"/>
          <w:sz w:val="20"/>
          <w:szCs w:val="20"/>
        </w:rPr>
        <w:t>opposition is</w:t>
      </w:r>
      <w:r w:rsidRPr="001253DC">
        <w:rPr>
          <w:rFonts w:ascii="Arial" w:hAnsi="Arial" w:cs="Arial"/>
          <w:sz w:val="20"/>
          <w:szCs w:val="20"/>
        </w:rPr>
        <w:t xml:space="preserve"> not</w:t>
      </w:r>
      <w:r w:rsidR="001253DC" w:rsidRPr="001253DC">
        <w:rPr>
          <w:rFonts w:ascii="Arial" w:hAnsi="Arial" w:cs="Arial"/>
          <w:sz w:val="20"/>
          <w:szCs w:val="20"/>
        </w:rPr>
        <w:t xml:space="preserve"> a</w:t>
      </w:r>
      <w:r w:rsidRPr="001253DC">
        <w:rPr>
          <w:rFonts w:ascii="Arial" w:hAnsi="Arial" w:cs="Arial"/>
          <w:sz w:val="20"/>
          <w:szCs w:val="20"/>
        </w:rPr>
        <w:t xml:space="preserve"> challenge to the </w:t>
      </w:r>
      <w:r w:rsidR="00DF488B">
        <w:rPr>
          <w:rFonts w:ascii="Arial" w:hAnsi="Arial" w:cs="Arial"/>
          <w:sz w:val="20"/>
          <w:szCs w:val="20"/>
        </w:rPr>
        <w:t xml:space="preserve">demand </w:t>
      </w:r>
      <w:r w:rsidRPr="001253DC">
        <w:rPr>
          <w:rFonts w:ascii="Arial" w:hAnsi="Arial" w:cs="Arial"/>
          <w:sz w:val="20"/>
          <w:szCs w:val="20"/>
        </w:rPr>
        <w:t>for affordable housing</w:t>
      </w:r>
      <w:r w:rsidR="003E378D">
        <w:rPr>
          <w:rFonts w:ascii="Arial" w:hAnsi="Arial" w:cs="Arial"/>
          <w:sz w:val="20"/>
          <w:szCs w:val="20"/>
        </w:rPr>
        <w:t>, but</w:t>
      </w:r>
      <w:r w:rsidR="00DF488B">
        <w:rPr>
          <w:rFonts w:ascii="Arial" w:hAnsi="Arial" w:cs="Arial"/>
          <w:sz w:val="20"/>
          <w:szCs w:val="20"/>
        </w:rPr>
        <w:t xml:space="preserve"> rather</w:t>
      </w:r>
      <w:r w:rsidR="003E378D">
        <w:rPr>
          <w:rFonts w:ascii="Arial" w:hAnsi="Arial" w:cs="Arial"/>
          <w:sz w:val="20"/>
          <w:szCs w:val="20"/>
        </w:rPr>
        <w:t xml:space="preserve"> a validation of the need for local flexibility when it comes to proper governmental land use management</w:t>
      </w:r>
      <w:r w:rsidRPr="001253DC">
        <w:rPr>
          <w:rFonts w:ascii="Arial" w:hAnsi="Arial" w:cs="Arial"/>
          <w:sz w:val="20"/>
          <w:szCs w:val="20"/>
        </w:rPr>
        <w:t xml:space="preserve">. </w:t>
      </w:r>
    </w:p>
    <w:p w14:paraId="240ED722" w14:textId="77777777" w:rsidR="00350FE8" w:rsidRPr="001253DC" w:rsidRDefault="00350FE8">
      <w:pPr>
        <w:pStyle w:val="ListParagraph"/>
        <w:ind w:left="-90"/>
        <w:rPr>
          <w:rFonts w:ascii="Arial" w:hAnsi="Arial" w:cs="Arial"/>
          <w:sz w:val="20"/>
          <w:szCs w:val="20"/>
        </w:rPr>
      </w:pPr>
    </w:p>
    <w:p w14:paraId="686001A6" w14:textId="1C9E5C6A" w:rsidR="00656AF7" w:rsidRPr="001253DC" w:rsidRDefault="00ED02D0" w:rsidP="00A32EA2">
      <w:pPr>
        <w:ind w:left="-90" w:right="-432"/>
        <w:rPr>
          <w:rFonts w:ascii="Arial" w:hAnsi="Arial" w:cs="Arial"/>
          <w:sz w:val="20"/>
          <w:szCs w:val="20"/>
        </w:rPr>
      </w:pPr>
      <w:r w:rsidRPr="001253DC">
        <w:rPr>
          <w:rFonts w:ascii="Arial" w:hAnsi="Arial" w:cs="Arial"/>
          <w:sz w:val="20"/>
          <w:szCs w:val="20"/>
        </w:rPr>
        <w:t xml:space="preserve">For these reasons, </w:t>
      </w:r>
      <w:r w:rsidR="00A51A6B" w:rsidRPr="001253DC">
        <w:rPr>
          <w:rFonts w:ascii="Arial" w:hAnsi="Arial" w:cs="Arial"/>
          <w:sz w:val="20"/>
          <w:szCs w:val="20"/>
          <w:highlight w:val="yellow"/>
        </w:rPr>
        <w:t>[</w:t>
      </w:r>
      <w:r w:rsidR="00A51A6B" w:rsidRPr="001253DC">
        <w:rPr>
          <w:rFonts w:ascii="Arial" w:hAnsi="Arial" w:cs="Arial"/>
          <w:b/>
          <w:sz w:val="20"/>
          <w:szCs w:val="20"/>
          <w:highlight w:val="yellow"/>
        </w:rPr>
        <w:t>name of district</w:t>
      </w:r>
      <w:r w:rsidR="00A51A6B" w:rsidRPr="001253DC">
        <w:rPr>
          <w:rFonts w:ascii="Arial" w:hAnsi="Arial" w:cs="Arial"/>
          <w:sz w:val="20"/>
          <w:szCs w:val="20"/>
          <w:highlight w:val="yellow"/>
        </w:rPr>
        <w:t>]</w:t>
      </w:r>
      <w:r w:rsidR="00A51A6B" w:rsidRPr="001253DC">
        <w:rPr>
          <w:rFonts w:ascii="Arial" w:hAnsi="Arial" w:cs="Arial"/>
          <w:sz w:val="20"/>
          <w:szCs w:val="20"/>
        </w:rPr>
        <w:t xml:space="preserve"> </w:t>
      </w:r>
      <w:r w:rsidRPr="001253DC">
        <w:rPr>
          <w:rFonts w:ascii="Arial" w:hAnsi="Arial" w:cs="Arial"/>
          <w:sz w:val="20"/>
          <w:szCs w:val="20"/>
        </w:rPr>
        <w:t xml:space="preserve">respectfully </w:t>
      </w:r>
      <w:r w:rsidR="001E2FCB">
        <w:rPr>
          <w:rFonts w:ascii="Arial" w:hAnsi="Arial" w:cs="Arial"/>
          <w:sz w:val="20"/>
          <w:szCs w:val="20"/>
        </w:rPr>
        <w:t>requests HCD amend the SLA Draft Guidelines</w:t>
      </w:r>
      <w:r w:rsidR="0033477F" w:rsidRPr="001253DC">
        <w:rPr>
          <w:rFonts w:ascii="Arial" w:hAnsi="Arial" w:cs="Arial"/>
          <w:sz w:val="20"/>
          <w:szCs w:val="20"/>
        </w:rPr>
        <w:t xml:space="preserve"> </w:t>
      </w:r>
      <w:r w:rsidR="001E2FCB">
        <w:rPr>
          <w:rFonts w:ascii="Arial" w:hAnsi="Arial" w:cs="Arial"/>
          <w:sz w:val="20"/>
          <w:szCs w:val="20"/>
        </w:rPr>
        <w:t>to correct the</w:t>
      </w:r>
      <w:r w:rsidR="00DF488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F488B">
        <w:rPr>
          <w:rFonts w:ascii="Arial" w:hAnsi="Arial" w:cs="Arial"/>
          <w:sz w:val="20"/>
          <w:szCs w:val="20"/>
        </w:rPr>
        <w:t>aforementioned</w:t>
      </w:r>
      <w:r w:rsidR="001E2FCB">
        <w:rPr>
          <w:rFonts w:ascii="Arial" w:hAnsi="Arial" w:cs="Arial"/>
          <w:sz w:val="20"/>
          <w:szCs w:val="20"/>
        </w:rPr>
        <w:t xml:space="preserve"> issues</w:t>
      </w:r>
      <w:proofErr w:type="gramEnd"/>
      <w:r w:rsidRPr="001253DC">
        <w:rPr>
          <w:rFonts w:ascii="Arial" w:hAnsi="Arial" w:cs="Arial"/>
          <w:sz w:val="20"/>
          <w:szCs w:val="20"/>
        </w:rPr>
        <w:t xml:space="preserve">. </w:t>
      </w:r>
    </w:p>
    <w:p w14:paraId="462C3664" w14:textId="77777777" w:rsidR="00656AF7" w:rsidRPr="001253DC" w:rsidRDefault="00656AF7" w:rsidP="003E378D">
      <w:pPr>
        <w:ind w:left="-90" w:right="-432"/>
        <w:rPr>
          <w:rFonts w:ascii="Arial" w:hAnsi="Arial" w:cs="Arial"/>
          <w:sz w:val="20"/>
          <w:szCs w:val="20"/>
        </w:rPr>
      </w:pPr>
    </w:p>
    <w:p w14:paraId="292F6230" w14:textId="77777777" w:rsidR="00AE6EEC" w:rsidRPr="001253DC" w:rsidRDefault="00656AF7">
      <w:pPr>
        <w:ind w:left="-90" w:right="-432"/>
        <w:rPr>
          <w:rFonts w:ascii="Arial" w:hAnsi="Arial" w:cs="Arial"/>
          <w:sz w:val="20"/>
          <w:szCs w:val="20"/>
        </w:rPr>
      </w:pPr>
      <w:r w:rsidRPr="001253DC">
        <w:rPr>
          <w:rFonts w:ascii="Arial" w:hAnsi="Arial" w:cs="Arial"/>
          <w:sz w:val="20"/>
          <w:szCs w:val="20"/>
        </w:rPr>
        <w:t>Sincerely,</w:t>
      </w:r>
    </w:p>
    <w:p w14:paraId="19D68655" w14:textId="77777777" w:rsidR="00A51A6B" w:rsidRPr="001253DC" w:rsidRDefault="00A51A6B">
      <w:pPr>
        <w:ind w:left="-90" w:right="-432"/>
        <w:rPr>
          <w:rFonts w:ascii="Arial" w:hAnsi="Arial" w:cs="Arial"/>
          <w:sz w:val="20"/>
          <w:szCs w:val="20"/>
        </w:rPr>
      </w:pPr>
    </w:p>
    <w:p w14:paraId="55EC3BE0" w14:textId="77777777" w:rsidR="00A51A6B" w:rsidRPr="001253DC" w:rsidRDefault="00A51A6B">
      <w:pPr>
        <w:ind w:left="-90" w:right="-432"/>
        <w:rPr>
          <w:rFonts w:ascii="Arial" w:hAnsi="Arial" w:cs="Arial"/>
          <w:sz w:val="20"/>
          <w:szCs w:val="20"/>
        </w:rPr>
      </w:pPr>
    </w:p>
    <w:p w14:paraId="62C1E7C6" w14:textId="77777777" w:rsidR="00A51A6B" w:rsidRPr="001253DC" w:rsidRDefault="00A51A6B">
      <w:pPr>
        <w:ind w:left="-90" w:right="-432"/>
        <w:rPr>
          <w:rFonts w:ascii="Arial" w:hAnsi="Arial" w:cs="Arial"/>
          <w:sz w:val="20"/>
          <w:szCs w:val="20"/>
        </w:rPr>
      </w:pPr>
    </w:p>
    <w:p w14:paraId="43E58A3F" w14:textId="77777777" w:rsidR="00A51A6B" w:rsidRPr="001253DC" w:rsidRDefault="00A51A6B" w:rsidP="00A32EA2">
      <w:pPr>
        <w:pStyle w:val="PlainText"/>
        <w:ind w:left="-86" w:right="-288"/>
        <w:rPr>
          <w:rFonts w:ascii="Arial" w:hAnsi="Arial" w:cs="Arial"/>
          <w:b/>
          <w:sz w:val="20"/>
          <w:szCs w:val="20"/>
        </w:rPr>
      </w:pPr>
      <w:r w:rsidRPr="001253DC">
        <w:rPr>
          <w:rFonts w:ascii="Arial" w:hAnsi="Arial" w:cs="Arial"/>
          <w:b/>
          <w:sz w:val="20"/>
          <w:szCs w:val="20"/>
        </w:rPr>
        <w:t>[</w:t>
      </w:r>
      <w:r w:rsidRPr="001253DC">
        <w:rPr>
          <w:rFonts w:ascii="Arial" w:hAnsi="Arial" w:cs="Arial"/>
          <w:b/>
          <w:sz w:val="20"/>
          <w:szCs w:val="20"/>
          <w:highlight w:val="yellow"/>
        </w:rPr>
        <w:t>Your name, Title</w:t>
      </w:r>
      <w:r w:rsidRPr="001253DC">
        <w:rPr>
          <w:rFonts w:ascii="Arial" w:hAnsi="Arial" w:cs="Arial"/>
          <w:b/>
          <w:sz w:val="20"/>
          <w:szCs w:val="20"/>
        </w:rPr>
        <w:t>]</w:t>
      </w:r>
    </w:p>
    <w:p w14:paraId="57F55B44" w14:textId="77777777" w:rsidR="00A51A6B" w:rsidRPr="001253DC" w:rsidRDefault="00A51A6B" w:rsidP="00A32EA2">
      <w:pPr>
        <w:pStyle w:val="PlainText"/>
        <w:ind w:left="-86" w:right="-288"/>
        <w:rPr>
          <w:rFonts w:ascii="Arial" w:hAnsi="Arial" w:cs="Arial"/>
          <w:sz w:val="20"/>
          <w:szCs w:val="20"/>
        </w:rPr>
      </w:pPr>
      <w:r w:rsidRPr="001253DC">
        <w:rPr>
          <w:rFonts w:ascii="Arial" w:hAnsi="Arial" w:cs="Arial"/>
          <w:b/>
          <w:sz w:val="20"/>
          <w:szCs w:val="20"/>
        </w:rPr>
        <w:t>[</w:t>
      </w:r>
      <w:r w:rsidRPr="001253DC">
        <w:rPr>
          <w:rFonts w:ascii="Arial" w:hAnsi="Arial" w:cs="Arial"/>
          <w:b/>
          <w:sz w:val="20"/>
          <w:szCs w:val="20"/>
          <w:highlight w:val="yellow"/>
        </w:rPr>
        <w:t>Name of your district</w:t>
      </w:r>
      <w:r w:rsidRPr="001253DC">
        <w:rPr>
          <w:rFonts w:ascii="Arial" w:hAnsi="Arial" w:cs="Arial"/>
          <w:b/>
          <w:sz w:val="20"/>
          <w:szCs w:val="20"/>
        </w:rPr>
        <w:t>]</w:t>
      </w:r>
    </w:p>
    <w:p w14:paraId="7ABB2B5F" w14:textId="77777777" w:rsidR="00A51A6B" w:rsidRPr="001253DC" w:rsidRDefault="00A51A6B" w:rsidP="003E378D">
      <w:pPr>
        <w:ind w:left="-90" w:right="-432"/>
        <w:rPr>
          <w:rFonts w:ascii="Arial" w:hAnsi="Arial" w:cs="Arial"/>
          <w:sz w:val="20"/>
          <w:szCs w:val="20"/>
        </w:rPr>
      </w:pPr>
    </w:p>
    <w:p w14:paraId="48274C50" w14:textId="4E491EE0" w:rsidR="00927CD9" w:rsidRPr="001253DC" w:rsidRDefault="00927CD9" w:rsidP="005D7B22">
      <w:pPr>
        <w:ind w:left="-90" w:right="-432"/>
        <w:rPr>
          <w:rFonts w:ascii="Arial" w:hAnsi="Arial" w:cs="Arial"/>
          <w:sz w:val="20"/>
          <w:szCs w:val="20"/>
        </w:rPr>
      </w:pPr>
      <w:r w:rsidRPr="001253DC">
        <w:rPr>
          <w:rFonts w:ascii="Arial" w:hAnsi="Arial" w:cs="Arial"/>
          <w:sz w:val="20"/>
          <w:szCs w:val="20"/>
        </w:rPr>
        <w:t>CC:</w:t>
      </w:r>
      <w:r w:rsidR="005D7B22">
        <w:rPr>
          <w:rFonts w:ascii="Arial" w:hAnsi="Arial" w:cs="Arial"/>
          <w:sz w:val="20"/>
          <w:szCs w:val="20"/>
        </w:rPr>
        <w:tab/>
      </w:r>
      <w:r w:rsidR="001E2FCB">
        <w:rPr>
          <w:rFonts w:ascii="Arial" w:hAnsi="Arial" w:cs="Arial"/>
          <w:sz w:val="20"/>
          <w:szCs w:val="20"/>
        </w:rPr>
        <w:t>Alyssa Silhi</w:t>
      </w:r>
      <w:r w:rsidRPr="001253DC">
        <w:rPr>
          <w:rFonts w:ascii="Arial" w:hAnsi="Arial" w:cs="Arial"/>
          <w:sz w:val="20"/>
          <w:szCs w:val="20"/>
        </w:rPr>
        <w:t>, Legislative Representative, California Special Districts Association [</w:t>
      </w:r>
      <w:r w:rsidR="001E2FCB">
        <w:rPr>
          <w:rFonts w:ascii="Arial" w:hAnsi="Arial" w:cs="Arial"/>
          <w:sz w:val="20"/>
          <w:szCs w:val="20"/>
        </w:rPr>
        <w:t>advocacy</w:t>
      </w:r>
      <w:r w:rsidRPr="001253DC">
        <w:rPr>
          <w:rFonts w:ascii="Arial" w:hAnsi="Arial" w:cs="Arial"/>
          <w:sz w:val="20"/>
          <w:szCs w:val="20"/>
        </w:rPr>
        <w:t>@csda.net]</w:t>
      </w:r>
    </w:p>
    <w:p w14:paraId="26A76BC9" w14:textId="77777777" w:rsidR="00927CD9" w:rsidRPr="001253DC" w:rsidRDefault="00927CD9">
      <w:pPr>
        <w:ind w:left="-90" w:right="-432"/>
        <w:rPr>
          <w:rFonts w:ascii="Arial" w:hAnsi="Arial" w:cs="Arial"/>
          <w:sz w:val="20"/>
          <w:szCs w:val="20"/>
        </w:rPr>
      </w:pPr>
    </w:p>
    <w:sectPr w:rsidR="00927CD9" w:rsidRPr="001253DC" w:rsidSect="00352636">
      <w:pgSz w:w="12240" w:h="15840"/>
      <w:pgMar w:top="1440" w:right="1800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135F1" w14:textId="77777777" w:rsidR="001F5E77" w:rsidRDefault="001F5E77">
      <w:r>
        <w:separator/>
      </w:r>
    </w:p>
  </w:endnote>
  <w:endnote w:type="continuationSeparator" w:id="0">
    <w:p w14:paraId="46ECF448" w14:textId="77777777" w:rsidR="001F5E77" w:rsidRDefault="001F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FF6EE" w14:textId="77777777" w:rsidR="001F5E77" w:rsidRDefault="001F5E77">
      <w:r>
        <w:separator/>
      </w:r>
    </w:p>
  </w:footnote>
  <w:footnote w:type="continuationSeparator" w:id="0">
    <w:p w14:paraId="07FEEFE7" w14:textId="77777777" w:rsidR="001F5E77" w:rsidRDefault="001F5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91A22"/>
    <w:multiLevelType w:val="hybridMultilevel"/>
    <w:tmpl w:val="D66806E6"/>
    <w:lvl w:ilvl="0" w:tplc="2F66E572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5F1C7FFB"/>
    <w:multiLevelType w:val="hybridMultilevel"/>
    <w:tmpl w:val="2AD4919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C677C32"/>
    <w:multiLevelType w:val="hybridMultilevel"/>
    <w:tmpl w:val="3348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F7"/>
    <w:rsid w:val="000329F2"/>
    <w:rsid w:val="000379C6"/>
    <w:rsid w:val="00095EF4"/>
    <w:rsid w:val="000F5A83"/>
    <w:rsid w:val="001253DC"/>
    <w:rsid w:val="0014352F"/>
    <w:rsid w:val="001E2FCB"/>
    <w:rsid w:val="001E40CE"/>
    <w:rsid w:val="001F5E77"/>
    <w:rsid w:val="002347AB"/>
    <w:rsid w:val="002914C3"/>
    <w:rsid w:val="002E5F31"/>
    <w:rsid w:val="0033477F"/>
    <w:rsid w:val="0035094D"/>
    <w:rsid w:val="00350FE8"/>
    <w:rsid w:val="003E378D"/>
    <w:rsid w:val="00416E43"/>
    <w:rsid w:val="004F68BC"/>
    <w:rsid w:val="0053630A"/>
    <w:rsid w:val="005970D1"/>
    <w:rsid w:val="005D7B22"/>
    <w:rsid w:val="00656AF7"/>
    <w:rsid w:val="00682C8A"/>
    <w:rsid w:val="006F3586"/>
    <w:rsid w:val="007012E2"/>
    <w:rsid w:val="00717B10"/>
    <w:rsid w:val="007326AE"/>
    <w:rsid w:val="007B0B2F"/>
    <w:rsid w:val="007E18AA"/>
    <w:rsid w:val="0086168D"/>
    <w:rsid w:val="008A2688"/>
    <w:rsid w:val="008E69A9"/>
    <w:rsid w:val="00927CD9"/>
    <w:rsid w:val="00956F5A"/>
    <w:rsid w:val="0096346A"/>
    <w:rsid w:val="009E4EAA"/>
    <w:rsid w:val="00A059BA"/>
    <w:rsid w:val="00A32EA2"/>
    <w:rsid w:val="00A36D8C"/>
    <w:rsid w:val="00A51A6B"/>
    <w:rsid w:val="00A71FD5"/>
    <w:rsid w:val="00A73028"/>
    <w:rsid w:val="00AD0BFC"/>
    <w:rsid w:val="00AE6EEC"/>
    <w:rsid w:val="00AF6B1D"/>
    <w:rsid w:val="00B128D3"/>
    <w:rsid w:val="00B2273D"/>
    <w:rsid w:val="00BD3379"/>
    <w:rsid w:val="00C141B0"/>
    <w:rsid w:val="00C53CAB"/>
    <w:rsid w:val="00C8679D"/>
    <w:rsid w:val="00C90121"/>
    <w:rsid w:val="00CE0869"/>
    <w:rsid w:val="00DF488B"/>
    <w:rsid w:val="00DF6E75"/>
    <w:rsid w:val="00ED02D0"/>
    <w:rsid w:val="00F037EB"/>
    <w:rsid w:val="00F147AD"/>
    <w:rsid w:val="00F908EA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64F74"/>
  <w15:chartTrackingRefBased/>
  <w15:docId w15:val="{B8E41C14-518A-46E2-B4A1-E1E793FE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6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AF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28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2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6A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1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12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16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51A6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1A6B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E6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9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9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9A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3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lands@hcd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F7CD5-B60C-4C65-A29E-A87C5AE2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Rylan Gervase</dc:creator>
  <cp:keywords/>
  <dc:description/>
  <cp:lastModifiedBy>Kristin Withrow</cp:lastModifiedBy>
  <cp:revision>2</cp:revision>
  <cp:lastPrinted>2017-04-07T20:11:00Z</cp:lastPrinted>
  <dcterms:created xsi:type="dcterms:W3CDTF">2020-11-17T16:02:00Z</dcterms:created>
  <dcterms:modified xsi:type="dcterms:W3CDTF">2020-11-17T16:02:00Z</dcterms:modified>
</cp:coreProperties>
</file>