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B12" w:rsidRPr="00B00B12" w:rsidRDefault="00B00B12" w:rsidP="00B00B12">
      <w:pPr>
        <w:shd w:val="clear" w:color="auto" w:fill="FFFFFF"/>
        <w:spacing w:after="0" w:line="240" w:lineRule="auto"/>
        <w:rPr>
          <w:rFonts w:ascii="Arial" w:eastAsia="Times New Roman" w:hAnsi="Arial" w:cs="Arial"/>
          <w:color w:val="212529"/>
          <w:sz w:val="24"/>
          <w:szCs w:val="24"/>
        </w:rPr>
      </w:pPr>
      <w:r w:rsidRPr="00B00B12">
        <w:rPr>
          <w:rFonts w:ascii="Arial" w:eastAsia="Times New Roman" w:hAnsi="Arial" w:cs="Arial"/>
          <w:color w:val="212529"/>
          <w:sz w:val="24"/>
          <w:szCs w:val="24"/>
        </w:rPr>
        <w:t>Business Unit: Finance &amp; CFO</w:t>
      </w:r>
    </w:p>
    <w:p w:rsidR="00B00B12" w:rsidRPr="00B00B12" w:rsidRDefault="00B00B12" w:rsidP="00B00B12">
      <w:pPr>
        <w:shd w:val="clear" w:color="auto" w:fill="FFFFFF"/>
        <w:spacing w:after="0" w:line="240" w:lineRule="auto"/>
        <w:rPr>
          <w:rFonts w:ascii="Arial" w:eastAsia="Times New Roman" w:hAnsi="Arial" w:cs="Arial"/>
          <w:color w:val="212529"/>
          <w:sz w:val="24"/>
          <w:szCs w:val="24"/>
        </w:rPr>
      </w:pPr>
      <w:r w:rsidRPr="00B00B12">
        <w:rPr>
          <w:rFonts w:ascii="Arial" w:eastAsia="Times New Roman" w:hAnsi="Arial" w:cs="Arial"/>
          <w:color w:val="212529"/>
          <w:sz w:val="24"/>
          <w:szCs w:val="24"/>
        </w:rPr>
        <w:t>Division: Not Applicable</w:t>
      </w:r>
    </w:p>
    <w:p w:rsidR="00B00B12" w:rsidRPr="00B00B12" w:rsidRDefault="00B00B12" w:rsidP="00B00B12">
      <w:pPr>
        <w:shd w:val="clear" w:color="auto" w:fill="FFFFFF"/>
        <w:spacing w:after="0" w:line="240" w:lineRule="auto"/>
        <w:rPr>
          <w:rFonts w:ascii="Arial" w:eastAsia="Times New Roman" w:hAnsi="Arial" w:cs="Arial"/>
          <w:color w:val="212529"/>
          <w:sz w:val="24"/>
          <w:szCs w:val="24"/>
        </w:rPr>
      </w:pPr>
      <w:r w:rsidRPr="00B00B12">
        <w:rPr>
          <w:rFonts w:ascii="Arial" w:eastAsia="Times New Roman" w:hAnsi="Arial" w:cs="Arial"/>
          <w:color w:val="212529"/>
          <w:sz w:val="24"/>
          <w:szCs w:val="24"/>
        </w:rPr>
        <w:t>Department: Financial Policies, Planning &amp; Analytics</w:t>
      </w:r>
    </w:p>
    <w:p w:rsidR="00B00B12" w:rsidRPr="00B00B12" w:rsidRDefault="00B00B12" w:rsidP="00B00B12">
      <w:pPr>
        <w:shd w:val="clear" w:color="auto" w:fill="FFFFFF"/>
        <w:spacing w:after="0" w:line="240" w:lineRule="auto"/>
        <w:rPr>
          <w:rFonts w:ascii="Arial" w:eastAsia="Times New Roman" w:hAnsi="Arial" w:cs="Arial"/>
          <w:color w:val="212529"/>
          <w:sz w:val="24"/>
          <w:szCs w:val="24"/>
        </w:rPr>
      </w:pPr>
      <w:r w:rsidRPr="00B00B12">
        <w:rPr>
          <w:rFonts w:ascii="Arial" w:eastAsia="Times New Roman" w:hAnsi="Arial" w:cs="Arial"/>
          <w:color w:val="212529"/>
          <w:sz w:val="24"/>
          <w:szCs w:val="24"/>
        </w:rPr>
        <w:t>Country: Saudi Arabia</w:t>
      </w:r>
    </w:p>
    <w:p w:rsidR="00B00B12" w:rsidRPr="00B00B12" w:rsidRDefault="00B00B12" w:rsidP="00B00B12">
      <w:pPr>
        <w:shd w:val="clear" w:color="auto" w:fill="FFFFFF"/>
        <w:spacing w:after="0" w:line="240" w:lineRule="auto"/>
        <w:rPr>
          <w:rFonts w:ascii="Arial" w:eastAsia="Times New Roman" w:hAnsi="Arial" w:cs="Arial"/>
          <w:color w:val="212529"/>
          <w:sz w:val="24"/>
          <w:szCs w:val="24"/>
        </w:rPr>
      </w:pPr>
      <w:r w:rsidRPr="00B00B12">
        <w:rPr>
          <w:rFonts w:ascii="Arial" w:eastAsia="Times New Roman" w:hAnsi="Arial" w:cs="Arial"/>
          <w:color w:val="212529"/>
          <w:sz w:val="24"/>
          <w:szCs w:val="24"/>
        </w:rPr>
        <w:t>Location: Saudi Arabia - Jeddah</w:t>
      </w:r>
    </w:p>
    <w:p w:rsidR="00B00B12" w:rsidRPr="00B00B12" w:rsidRDefault="00B00B12" w:rsidP="00B00B12">
      <w:pPr>
        <w:shd w:val="clear" w:color="auto" w:fill="FFFFFF"/>
        <w:spacing w:after="0" w:line="240" w:lineRule="auto"/>
        <w:rPr>
          <w:rFonts w:ascii="Arial" w:eastAsia="Times New Roman" w:hAnsi="Arial" w:cs="Arial"/>
          <w:color w:val="212529"/>
          <w:sz w:val="24"/>
          <w:szCs w:val="24"/>
        </w:rPr>
      </w:pPr>
      <w:r w:rsidRPr="00B00B12">
        <w:rPr>
          <w:rFonts w:ascii="Arial" w:eastAsia="Times New Roman" w:hAnsi="Arial" w:cs="Arial"/>
          <w:color w:val="212529"/>
          <w:sz w:val="24"/>
          <w:szCs w:val="24"/>
        </w:rPr>
        <w:t>Closing date: 20-Apr-2024</w:t>
      </w:r>
    </w:p>
    <w:p w:rsidR="00B00B12" w:rsidRPr="00B00B12" w:rsidRDefault="00B00B12" w:rsidP="00B00B12">
      <w:pPr>
        <w:shd w:val="clear" w:color="auto" w:fill="FFFFFF"/>
        <w:spacing w:before="300" w:after="300" w:line="240" w:lineRule="auto"/>
        <w:outlineLvl w:val="3"/>
        <w:rPr>
          <w:rFonts w:ascii="inherit" w:eastAsia="Times New Roman" w:hAnsi="inherit" w:cs="Arial"/>
          <w:color w:val="212529"/>
          <w:sz w:val="24"/>
          <w:szCs w:val="24"/>
        </w:rPr>
      </w:pPr>
      <w:r w:rsidRPr="00B00B12">
        <w:rPr>
          <w:rFonts w:ascii="inherit" w:eastAsia="Times New Roman" w:hAnsi="inherit" w:cs="Arial"/>
          <w:color w:val="212529"/>
          <w:sz w:val="24"/>
          <w:szCs w:val="24"/>
        </w:rPr>
        <w:t>Job Purpose:</w:t>
      </w:r>
    </w:p>
    <w:p w:rsidR="00B00B12" w:rsidRPr="00B00B12" w:rsidRDefault="00B00B12" w:rsidP="00B00B12">
      <w:pPr>
        <w:shd w:val="clear" w:color="auto" w:fill="FFFFFF"/>
        <w:spacing w:after="100" w:afterAutospacing="1" w:line="240" w:lineRule="auto"/>
        <w:jc w:val="both"/>
        <w:rPr>
          <w:rFonts w:ascii="Arial" w:eastAsia="Times New Roman" w:hAnsi="Arial" w:cs="Arial"/>
          <w:color w:val="3C3F43"/>
          <w:sz w:val="24"/>
          <w:szCs w:val="24"/>
        </w:rPr>
      </w:pPr>
      <w:r w:rsidRPr="00B00B12">
        <w:rPr>
          <w:rFonts w:ascii="Arial" w:eastAsia="Times New Roman" w:hAnsi="Arial" w:cs="Arial"/>
          <w:color w:val="3C3F43"/>
          <w:sz w:val="18"/>
          <w:szCs w:val="18"/>
        </w:rPr>
        <w:t xml:space="preserve">Oversee the development and structuring of innovative financial products for the Bank’s financing, funding, and hedging activities. Review the structure of IDB funding instruments and develop structures to meet the need of proper asset -liability management and liquidity management while remaining compliant with </w:t>
      </w:r>
      <w:proofErr w:type="spellStart"/>
      <w:r w:rsidRPr="00B00B12">
        <w:rPr>
          <w:rFonts w:ascii="Arial" w:eastAsia="Times New Roman" w:hAnsi="Arial" w:cs="Arial"/>
          <w:color w:val="3C3F43"/>
          <w:sz w:val="18"/>
          <w:szCs w:val="18"/>
        </w:rPr>
        <w:t>shariah</w:t>
      </w:r>
      <w:proofErr w:type="spellEnd"/>
      <w:r w:rsidRPr="00B00B12">
        <w:rPr>
          <w:rFonts w:ascii="Arial" w:eastAsia="Times New Roman" w:hAnsi="Arial" w:cs="Arial"/>
          <w:color w:val="3C3F43"/>
          <w:sz w:val="18"/>
          <w:szCs w:val="18"/>
        </w:rPr>
        <w:t xml:space="preserve"> principles. Support the needs of other units in the Bank for new financing product and structures. Support other functions of the Bank in structuring trust funds and other off-balance sheet funds in terms of resource mobilization mechanisms.</w:t>
      </w:r>
    </w:p>
    <w:p w:rsidR="00B00B12" w:rsidRPr="00B00B12" w:rsidRDefault="00B00B12" w:rsidP="00B00B12">
      <w:pPr>
        <w:shd w:val="clear" w:color="auto" w:fill="FFFFFF"/>
        <w:spacing w:before="300" w:after="300" w:line="240" w:lineRule="auto"/>
        <w:outlineLvl w:val="3"/>
        <w:rPr>
          <w:rFonts w:ascii="inherit" w:eastAsia="Times New Roman" w:hAnsi="inherit" w:cs="Arial"/>
          <w:color w:val="212529"/>
          <w:sz w:val="24"/>
          <w:szCs w:val="24"/>
        </w:rPr>
      </w:pPr>
      <w:r w:rsidRPr="00B00B12">
        <w:rPr>
          <w:rFonts w:ascii="inherit" w:eastAsia="Times New Roman" w:hAnsi="inherit" w:cs="Arial"/>
          <w:color w:val="212529"/>
          <w:sz w:val="24"/>
          <w:szCs w:val="24"/>
        </w:rPr>
        <w:t>Key Accountabilities:</w:t>
      </w:r>
    </w:p>
    <w:p w:rsidR="00B00B12" w:rsidRPr="00B00B12" w:rsidRDefault="00B00B12" w:rsidP="00B00B12">
      <w:pPr>
        <w:shd w:val="clear" w:color="auto" w:fill="FFFFFF"/>
        <w:spacing w:after="100" w:afterAutospacing="1" w:line="240" w:lineRule="auto"/>
        <w:jc w:val="both"/>
        <w:rPr>
          <w:rFonts w:ascii="Arial" w:eastAsia="Times New Roman" w:hAnsi="Arial" w:cs="Arial"/>
          <w:color w:val="3C3F43"/>
          <w:sz w:val="24"/>
          <w:szCs w:val="24"/>
        </w:rPr>
      </w:pPr>
      <w:r w:rsidRPr="00B00B12">
        <w:rPr>
          <w:rFonts w:ascii="Arial" w:eastAsia="Times New Roman" w:hAnsi="Arial" w:cs="Arial"/>
          <w:b/>
          <w:bCs/>
          <w:color w:val="3C3F43"/>
          <w:sz w:val="18"/>
          <w:szCs w:val="18"/>
        </w:rPr>
        <w:t>Strategy</w:t>
      </w:r>
    </w:p>
    <w:p w:rsidR="00B00B12" w:rsidRPr="00B00B12" w:rsidRDefault="00B00B12" w:rsidP="00B00B12">
      <w:pPr>
        <w:numPr>
          <w:ilvl w:val="0"/>
          <w:numId w:val="1"/>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Oversee the development and structuring of innovative financial products and solutions for the Bank in line with the financial strategies of the Bank to support its financial sustainability.</w:t>
      </w:r>
    </w:p>
    <w:p w:rsidR="00B00B12" w:rsidRPr="00B00B12" w:rsidRDefault="00B00B12" w:rsidP="00B00B12">
      <w:pPr>
        <w:shd w:val="clear" w:color="auto" w:fill="FFFFFF"/>
        <w:spacing w:after="100" w:afterAutospacing="1" w:line="240" w:lineRule="auto"/>
        <w:jc w:val="both"/>
        <w:rPr>
          <w:rFonts w:ascii="Arial" w:eastAsia="Times New Roman" w:hAnsi="Arial" w:cs="Arial"/>
          <w:color w:val="3C3F43"/>
          <w:sz w:val="24"/>
          <w:szCs w:val="24"/>
        </w:rPr>
      </w:pPr>
      <w:r w:rsidRPr="00B00B12">
        <w:rPr>
          <w:rFonts w:ascii="Arial" w:eastAsia="Times New Roman" w:hAnsi="Arial" w:cs="Arial"/>
          <w:b/>
          <w:bCs/>
          <w:color w:val="3C3F43"/>
          <w:sz w:val="18"/>
          <w:szCs w:val="18"/>
        </w:rPr>
        <w:t>Financial Engineering</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Oversee the development of new financial products for the Bank's financing, funding, and hedging activities.</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Review and assess the Bank's needs for product development or new variants of existing asset-liability management products to serve its business needs.</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 xml:space="preserve">Review the structures of the Bank’s funding instruments such as the array of </w:t>
      </w:r>
      <w:proofErr w:type="spellStart"/>
      <w:r w:rsidRPr="00B00B12">
        <w:rPr>
          <w:rFonts w:ascii="Arial" w:eastAsia="Times New Roman" w:hAnsi="Arial" w:cs="Arial"/>
          <w:color w:val="3C3F43"/>
          <w:sz w:val="18"/>
          <w:szCs w:val="18"/>
        </w:rPr>
        <w:t>Sukuk</w:t>
      </w:r>
      <w:proofErr w:type="spellEnd"/>
      <w:r w:rsidRPr="00B00B12">
        <w:rPr>
          <w:rFonts w:ascii="Arial" w:eastAsia="Times New Roman" w:hAnsi="Arial" w:cs="Arial"/>
          <w:color w:val="3C3F43"/>
          <w:sz w:val="18"/>
          <w:szCs w:val="18"/>
        </w:rPr>
        <w:t xml:space="preserve"> structures employed by the Bank and develop structures where required to meet the need of proper asset-liability management and liquidity management whilst maintain compliance with </w:t>
      </w:r>
      <w:proofErr w:type="spellStart"/>
      <w:r w:rsidRPr="00B00B12">
        <w:rPr>
          <w:rFonts w:ascii="Arial" w:eastAsia="Times New Roman" w:hAnsi="Arial" w:cs="Arial"/>
          <w:color w:val="3C3F43"/>
          <w:sz w:val="18"/>
          <w:szCs w:val="18"/>
        </w:rPr>
        <w:t>shariah</w:t>
      </w:r>
      <w:proofErr w:type="spellEnd"/>
      <w:r w:rsidRPr="00B00B12">
        <w:rPr>
          <w:rFonts w:ascii="Arial" w:eastAsia="Times New Roman" w:hAnsi="Arial" w:cs="Arial"/>
          <w:color w:val="3C3F43"/>
          <w:sz w:val="18"/>
          <w:szCs w:val="18"/>
        </w:rPr>
        <w:t xml:space="preserve"> principles.</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 xml:space="preserve">Support the development of new mechanisms, where required, for the pricing structure of the Bank's financing products that meets the needs of financial management and </w:t>
      </w:r>
      <w:proofErr w:type="spellStart"/>
      <w:r w:rsidRPr="00B00B12">
        <w:rPr>
          <w:rFonts w:ascii="Arial" w:eastAsia="Times New Roman" w:hAnsi="Arial" w:cs="Arial"/>
          <w:color w:val="3C3F43"/>
          <w:sz w:val="18"/>
          <w:szCs w:val="18"/>
        </w:rPr>
        <w:t>shariah</w:t>
      </w:r>
      <w:proofErr w:type="spellEnd"/>
      <w:r w:rsidRPr="00B00B12">
        <w:rPr>
          <w:rFonts w:ascii="Arial" w:eastAsia="Times New Roman" w:hAnsi="Arial" w:cs="Arial"/>
          <w:color w:val="3C3F43"/>
          <w:sz w:val="18"/>
          <w:szCs w:val="18"/>
        </w:rPr>
        <w:t xml:space="preserve"> compliance issues.</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Support concerned functions in the development of new financing products and structures.</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Support other functions of the Bank in structuring trust funds and other off balance sheet funds in terms of resource mobilization mechanisms.</w:t>
      </w:r>
    </w:p>
    <w:p w:rsidR="00B00B12" w:rsidRPr="00B00B12" w:rsidRDefault="00B00B12" w:rsidP="00B00B12">
      <w:pPr>
        <w:numPr>
          <w:ilvl w:val="0"/>
          <w:numId w:val="2"/>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Share knowledge and ideas with other units in the Bank responsible for development of the Islamic Finance Industry where there is mutual benefit served.</w:t>
      </w:r>
    </w:p>
    <w:p w:rsidR="00B00B12" w:rsidRPr="00B00B12" w:rsidRDefault="00B00B12" w:rsidP="00B00B12">
      <w:pPr>
        <w:shd w:val="clear" w:color="auto" w:fill="FFFFFF"/>
        <w:spacing w:after="100" w:afterAutospacing="1" w:line="240" w:lineRule="auto"/>
        <w:jc w:val="both"/>
        <w:rPr>
          <w:rFonts w:ascii="Arial" w:eastAsia="Times New Roman" w:hAnsi="Arial" w:cs="Arial"/>
          <w:color w:val="3C3F43"/>
          <w:sz w:val="24"/>
          <w:szCs w:val="24"/>
        </w:rPr>
      </w:pPr>
      <w:r w:rsidRPr="00B00B12">
        <w:rPr>
          <w:rFonts w:ascii="Arial" w:eastAsia="Times New Roman" w:hAnsi="Arial" w:cs="Arial"/>
          <w:b/>
          <w:bCs/>
          <w:color w:val="3C3F43"/>
          <w:sz w:val="18"/>
          <w:szCs w:val="18"/>
        </w:rPr>
        <w:t>Operational excellence</w:t>
      </w:r>
    </w:p>
    <w:p w:rsidR="00B00B12" w:rsidRPr="00B00B12" w:rsidRDefault="00B00B12" w:rsidP="00B00B12">
      <w:pPr>
        <w:numPr>
          <w:ilvl w:val="0"/>
          <w:numId w:val="3"/>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Provide technical guidance to the lesser experienced team members and review their work.</w:t>
      </w:r>
    </w:p>
    <w:p w:rsidR="00B00B12" w:rsidRPr="00B00B12" w:rsidRDefault="00B00B12" w:rsidP="00B00B12">
      <w:pPr>
        <w:numPr>
          <w:ilvl w:val="0"/>
          <w:numId w:val="3"/>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Monitor the effective implementation and adherence to respective financial management policies, procedures and controls so that all relevant procedural / regulatory requirements are fulfilled.</w:t>
      </w:r>
    </w:p>
    <w:p w:rsidR="00B00B12" w:rsidRPr="00B00B12" w:rsidRDefault="00B00B12" w:rsidP="00B00B12">
      <w:pPr>
        <w:numPr>
          <w:ilvl w:val="0"/>
          <w:numId w:val="3"/>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Keep abreast of the latest developments, regulations and leading practices in the field and propose any necessary actions.</w:t>
      </w:r>
    </w:p>
    <w:p w:rsidR="00B00B12" w:rsidRPr="00B00B12" w:rsidRDefault="00B00B12" w:rsidP="00B00B12">
      <w:pPr>
        <w:numPr>
          <w:ilvl w:val="0"/>
          <w:numId w:val="3"/>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Propose and implement process improvements to increase efficiency, effectiveness and compliance of the related operations.</w:t>
      </w:r>
    </w:p>
    <w:p w:rsidR="00B00B12" w:rsidRPr="00B00B12" w:rsidRDefault="00B00B12" w:rsidP="00B00B12">
      <w:pPr>
        <w:shd w:val="clear" w:color="auto" w:fill="FFFFFF"/>
        <w:spacing w:before="300" w:after="300" w:line="240" w:lineRule="auto"/>
        <w:outlineLvl w:val="3"/>
        <w:rPr>
          <w:rFonts w:ascii="inherit" w:eastAsia="Times New Roman" w:hAnsi="inherit" w:cs="Arial"/>
          <w:color w:val="212529"/>
          <w:sz w:val="24"/>
          <w:szCs w:val="24"/>
        </w:rPr>
      </w:pPr>
      <w:r w:rsidRPr="00B00B12">
        <w:rPr>
          <w:rFonts w:ascii="inherit" w:eastAsia="Times New Roman" w:hAnsi="inherit" w:cs="Arial"/>
          <w:color w:val="212529"/>
          <w:sz w:val="24"/>
          <w:szCs w:val="24"/>
        </w:rPr>
        <w:t>Academic and Professional Qualifications:</w:t>
      </w:r>
    </w:p>
    <w:p w:rsidR="00B00B12" w:rsidRPr="00B00B12" w:rsidRDefault="00B00B12" w:rsidP="00B00B12">
      <w:pPr>
        <w:numPr>
          <w:ilvl w:val="0"/>
          <w:numId w:val="4"/>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t>Bachelor’s degree in Finance, Financial Management, Investment, Banking, Economics, or related field.</w:t>
      </w:r>
    </w:p>
    <w:p w:rsidR="00B00B12" w:rsidRPr="00B00B12" w:rsidRDefault="00B00B12" w:rsidP="00B00B12">
      <w:pPr>
        <w:numPr>
          <w:ilvl w:val="0"/>
          <w:numId w:val="4"/>
        </w:numPr>
        <w:shd w:val="clear" w:color="auto" w:fill="FFFFFF"/>
        <w:spacing w:after="100" w:afterAutospacing="1" w:line="240" w:lineRule="auto"/>
        <w:ind w:left="495"/>
        <w:jc w:val="both"/>
        <w:rPr>
          <w:rFonts w:ascii="Arial" w:eastAsia="Times New Roman" w:hAnsi="Arial" w:cs="Arial"/>
          <w:color w:val="3C3F43"/>
          <w:sz w:val="24"/>
          <w:szCs w:val="24"/>
        </w:rPr>
      </w:pPr>
      <w:r w:rsidRPr="00B00B12">
        <w:rPr>
          <w:rFonts w:ascii="Arial" w:eastAsia="Times New Roman" w:hAnsi="Arial" w:cs="Arial"/>
          <w:color w:val="3C3F43"/>
          <w:sz w:val="18"/>
          <w:szCs w:val="18"/>
        </w:rPr>
        <w:lastRenderedPageBreak/>
        <w:t xml:space="preserve">Minimum 8 years of experience in financial product development or related field and </w:t>
      </w:r>
      <w:proofErr w:type="spellStart"/>
      <w:r w:rsidRPr="00B00B12">
        <w:rPr>
          <w:rFonts w:ascii="Arial" w:eastAsia="Times New Roman" w:hAnsi="Arial" w:cs="Arial"/>
          <w:color w:val="3C3F43"/>
          <w:sz w:val="18"/>
          <w:szCs w:val="18"/>
        </w:rPr>
        <w:t>Shariah</w:t>
      </w:r>
      <w:proofErr w:type="spellEnd"/>
      <w:r w:rsidRPr="00B00B12">
        <w:rPr>
          <w:rFonts w:ascii="Arial" w:eastAsia="Times New Roman" w:hAnsi="Arial" w:cs="Arial"/>
          <w:color w:val="3C3F43"/>
          <w:sz w:val="18"/>
          <w:szCs w:val="18"/>
        </w:rPr>
        <w:t xml:space="preserve"> background on financial and economic transactions.</w:t>
      </w:r>
    </w:p>
    <w:p w:rsidR="00B00B12" w:rsidRPr="00B00B12" w:rsidRDefault="00B00B12" w:rsidP="00B00B12">
      <w:pPr>
        <w:shd w:val="clear" w:color="auto" w:fill="FFFFFF"/>
        <w:spacing w:before="300" w:after="300" w:line="240" w:lineRule="auto"/>
        <w:outlineLvl w:val="3"/>
        <w:rPr>
          <w:rFonts w:ascii="inherit" w:eastAsia="Times New Roman" w:hAnsi="inherit" w:cs="Arial"/>
          <w:color w:val="212529"/>
          <w:sz w:val="24"/>
          <w:szCs w:val="24"/>
        </w:rPr>
      </w:pPr>
      <w:r w:rsidRPr="00B00B12">
        <w:rPr>
          <w:rFonts w:ascii="inherit" w:eastAsia="Times New Roman" w:hAnsi="inherit" w:cs="Arial"/>
          <w:color w:val="212529"/>
          <w:sz w:val="24"/>
          <w:szCs w:val="24"/>
        </w:rPr>
        <w:t>Skills &amp; Necessary Knowledge:</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Building Relationships</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Motivation to Learn and Share</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Passion for Excellence</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Analytical Thinking</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Problem Solving</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Financial Management</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Advanced knowledge of risk management, treasury function, and compliance</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Advanced knowledge of Statistical Analysis, Financial</w:t>
      </w:r>
    </w:p>
    <w:p w:rsidR="00B00B12" w:rsidRPr="00B00B12" w:rsidRDefault="00B00B12" w:rsidP="00B00B12">
      <w:pPr>
        <w:numPr>
          <w:ilvl w:val="0"/>
          <w:numId w:val="5"/>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Modeling and Reporting</w:t>
      </w:r>
    </w:p>
    <w:p w:rsidR="00B00B12" w:rsidRPr="00B00B12" w:rsidRDefault="00B00B12" w:rsidP="00B00B12">
      <w:pPr>
        <w:shd w:val="clear" w:color="auto" w:fill="FFFFFF"/>
        <w:spacing w:before="300" w:after="300" w:line="240" w:lineRule="auto"/>
        <w:outlineLvl w:val="3"/>
        <w:rPr>
          <w:rFonts w:ascii="inherit" w:eastAsia="Times New Roman" w:hAnsi="inherit" w:cs="Arial"/>
          <w:color w:val="212529"/>
          <w:sz w:val="24"/>
          <w:szCs w:val="24"/>
        </w:rPr>
      </w:pPr>
      <w:r w:rsidRPr="00B00B12">
        <w:rPr>
          <w:rFonts w:ascii="inherit" w:eastAsia="Times New Roman" w:hAnsi="inherit" w:cs="Arial"/>
          <w:color w:val="212529"/>
          <w:sz w:val="24"/>
          <w:szCs w:val="24"/>
        </w:rPr>
        <w:t>Languages:</w:t>
      </w:r>
    </w:p>
    <w:p w:rsidR="00B00B12" w:rsidRPr="00B00B12" w:rsidRDefault="00B00B12" w:rsidP="00B00B12">
      <w:pPr>
        <w:numPr>
          <w:ilvl w:val="0"/>
          <w:numId w:val="6"/>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English - Mandatory</w:t>
      </w:r>
    </w:p>
    <w:p w:rsidR="00B00B12" w:rsidRPr="00B00B12" w:rsidRDefault="00B00B12" w:rsidP="00B00B12">
      <w:pPr>
        <w:numPr>
          <w:ilvl w:val="0"/>
          <w:numId w:val="6"/>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Arabic - Preferred</w:t>
      </w:r>
    </w:p>
    <w:p w:rsidR="00B00B12" w:rsidRPr="00B00B12" w:rsidRDefault="00B00B12" w:rsidP="00B00B12">
      <w:pPr>
        <w:numPr>
          <w:ilvl w:val="0"/>
          <w:numId w:val="6"/>
        </w:numPr>
        <w:shd w:val="clear" w:color="auto" w:fill="FFFFFF"/>
        <w:spacing w:after="100" w:afterAutospacing="1" w:line="240" w:lineRule="auto"/>
        <w:ind w:left="495"/>
        <w:rPr>
          <w:rFonts w:ascii="Arial" w:eastAsia="Times New Roman" w:hAnsi="Arial" w:cs="Arial"/>
          <w:color w:val="3C3F43"/>
          <w:sz w:val="24"/>
          <w:szCs w:val="24"/>
        </w:rPr>
      </w:pPr>
      <w:r w:rsidRPr="00B00B12">
        <w:rPr>
          <w:rFonts w:ascii="Arial" w:eastAsia="Times New Roman" w:hAnsi="Arial" w:cs="Arial"/>
          <w:color w:val="3C3F43"/>
          <w:sz w:val="18"/>
          <w:szCs w:val="18"/>
        </w:rPr>
        <w:t>French - Preferred</w:t>
      </w:r>
    </w:p>
    <w:p w:rsidR="007A54C9" w:rsidRDefault="00B00B12">
      <w:hyperlink r:id="rId5" w:history="1">
        <w:r w:rsidRPr="00B00B12">
          <w:rPr>
            <w:rStyle w:val="Hyperlink"/>
          </w:rPr>
          <w:t>APPLY</w:t>
        </w:r>
      </w:hyperlink>
      <w:bookmarkStart w:id="0" w:name="_GoBack"/>
      <w:bookmarkEnd w:id="0"/>
    </w:p>
    <w:sectPr w:rsidR="007A54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B5E"/>
    <w:multiLevelType w:val="multilevel"/>
    <w:tmpl w:val="2FD2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C7239A"/>
    <w:multiLevelType w:val="multilevel"/>
    <w:tmpl w:val="F1F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242F7"/>
    <w:multiLevelType w:val="multilevel"/>
    <w:tmpl w:val="8B2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E860E1"/>
    <w:multiLevelType w:val="multilevel"/>
    <w:tmpl w:val="A7E8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663B9"/>
    <w:multiLevelType w:val="multilevel"/>
    <w:tmpl w:val="0F06D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1812EE"/>
    <w:multiLevelType w:val="multilevel"/>
    <w:tmpl w:val="F616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4A9"/>
    <w:rsid w:val="002024A9"/>
    <w:rsid w:val="007A54C9"/>
    <w:rsid w:val="00B00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CC538-C2FC-4DAF-89FC-63194E1F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00B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00B12"/>
    <w:rPr>
      <w:rFonts w:ascii="Times New Roman" w:eastAsia="Times New Roman" w:hAnsi="Times New Roman" w:cs="Times New Roman"/>
      <w:b/>
      <w:bCs/>
      <w:sz w:val="24"/>
      <w:szCs w:val="24"/>
    </w:rPr>
  </w:style>
  <w:style w:type="character" w:customStyle="1" w:styleId="text-muted">
    <w:name w:val="text-muted"/>
    <w:basedOn w:val="DefaultParagraphFont"/>
    <w:rsid w:val="00B00B12"/>
  </w:style>
  <w:style w:type="paragraph" w:styleId="NormalWeb">
    <w:name w:val="Normal (Web)"/>
    <w:basedOn w:val="Normal"/>
    <w:uiPriority w:val="99"/>
    <w:semiHidden/>
    <w:unhideWhenUsed/>
    <w:rsid w:val="00B00B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0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47404">
      <w:bodyDiv w:val="1"/>
      <w:marLeft w:val="0"/>
      <w:marRight w:val="0"/>
      <w:marTop w:val="0"/>
      <w:marBottom w:val="0"/>
      <w:divBdr>
        <w:top w:val="none" w:sz="0" w:space="0" w:color="auto"/>
        <w:left w:val="none" w:sz="0" w:space="0" w:color="auto"/>
        <w:bottom w:val="none" w:sz="0" w:space="0" w:color="auto"/>
        <w:right w:val="none" w:sz="0" w:space="0" w:color="auto"/>
      </w:divBdr>
      <w:divsChild>
        <w:div w:id="857279962">
          <w:marLeft w:val="-225"/>
          <w:marRight w:val="-225"/>
          <w:marTop w:val="0"/>
          <w:marBottom w:val="0"/>
          <w:divBdr>
            <w:top w:val="none" w:sz="0" w:space="0" w:color="auto"/>
            <w:left w:val="none" w:sz="0" w:space="0" w:color="auto"/>
            <w:bottom w:val="none" w:sz="0" w:space="0" w:color="auto"/>
            <w:right w:val="none" w:sz="0" w:space="0" w:color="auto"/>
          </w:divBdr>
          <w:divsChild>
            <w:div w:id="51276285">
              <w:marLeft w:val="0"/>
              <w:marRight w:val="0"/>
              <w:marTop w:val="0"/>
              <w:marBottom w:val="0"/>
              <w:divBdr>
                <w:top w:val="none" w:sz="0" w:space="0" w:color="auto"/>
                <w:left w:val="none" w:sz="0" w:space="0" w:color="auto"/>
                <w:bottom w:val="none" w:sz="0" w:space="0" w:color="auto"/>
                <w:right w:val="none" w:sz="0" w:space="0" w:color="auto"/>
              </w:divBdr>
            </w:div>
          </w:divsChild>
        </w:div>
        <w:div w:id="1582567800">
          <w:marLeft w:val="-225"/>
          <w:marRight w:val="-225"/>
          <w:marTop w:val="0"/>
          <w:marBottom w:val="0"/>
          <w:divBdr>
            <w:top w:val="none" w:sz="0" w:space="0" w:color="auto"/>
            <w:left w:val="none" w:sz="0" w:space="0" w:color="auto"/>
            <w:bottom w:val="none" w:sz="0" w:space="0" w:color="auto"/>
            <w:right w:val="none" w:sz="0" w:space="0" w:color="auto"/>
          </w:divBdr>
          <w:divsChild>
            <w:div w:id="1869487859">
              <w:marLeft w:val="0"/>
              <w:marRight w:val="0"/>
              <w:marTop w:val="0"/>
              <w:marBottom w:val="0"/>
              <w:divBdr>
                <w:top w:val="none" w:sz="0" w:space="0" w:color="auto"/>
                <w:left w:val="none" w:sz="0" w:space="0" w:color="auto"/>
                <w:bottom w:val="none" w:sz="0" w:space="0" w:color="auto"/>
                <w:right w:val="none" w:sz="0" w:space="0" w:color="auto"/>
              </w:divBdr>
            </w:div>
          </w:divsChild>
        </w:div>
        <w:div w:id="1402021922">
          <w:marLeft w:val="-225"/>
          <w:marRight w:val="-225"/>
          <w:marTop w:val="0"/>
          <w:marBottom w:val="0"/>
          <w:divBdr>
            <w:top w:val="none" w:sz="0" w:space="0" w:color="auto"/>
            <w:left w:val="none" w:sz="0" w:space="0" w:color="auto"/>
            <w:bottom w:val="none" w:sz="0" w:space="0" w:color="auto"/>
            <w:right w:val="none" w:sz="0" w:space="0" w:color="auto"/>
          </w:divBdr>
          <w:divsChild>
            <w:div w:id="890460662">
              <w:marLeft w:val="0"/>
              <w:marRight w:val="0"/>
              <w:marTop w:val="0"/>
              <w:marBottom w:val="0"/>
              <w:divBdr>
                <w:top w:val="none" w:sz="0" w:space="0" w:color="auto"/>
                <w:left w:val="none" w:sz="0" w:space="0" w:color="auto"/>
                <w:bottom w:val="none" w:sz="0" w:space="0" w:color="auto"/>
                <w:right w:val="none" w:sz="0" w:space="0" w:color="auto"/>
              </w:divBdr>
            </w:div>
          </w:divsChild>
        </w:div>
        <w:div w:id="782307098">
          <w:marLeft w:val="-225"/>
          <w:marRight w:val="-225"/>
          <w:marTop w:val="0"/>
          <w:marBottom w:val="0"/>
          <w:divBdr>
            <w:top w:val="none" w:sz="0" w:space="0" w:color="auto"/>
            <w:left w:val="none" w:sz="0" w:space="0" w:color="auto"/>
            <w:bottom w:val="none" w:sz="0" w:space="0" w:color="auto"/>
            <w:right w:val="none" w:sz="0" w:space="0" w:color="auto"/>
          </w:divBdr>
          <w:divsChild>
            <w:div w:id="960113251">
              <w:marLeft w:val="0"/>
              <w:marRight w:val="0"/>
              <w:marTop w:val="0"/>
              <w:marBottom w:val="0"/>
              <w:divBdr>
                <w:top w:val="none" w:sz="0" w:space="0" w:color="auto"/>
                <w:left w:val="none" w:sz="0" w:space="0" w:color="auto"/>
                <w:bottom w:val="none" w:sz="0" w:space="0" w:color="auto"/>
                <w:right w:val="none" w:sz="0" w:space="0" w:color="auto"/>
              </w:divBdr>
            </w:div>
          </w:divsChild>
        </w:div>
        <w:div w:id="1953130322">
          <w:marLeft w:val="-225"/>
          <w:marRight w:val="-225"/>
          <w:marTop w:val="0"/>
          <w:marBottom w:val="0"/>
          <w:divBdr>
            <w:top w:val="none" w:sz="0" w:space="0" w:color="auto"/>
            <w:left w:val="none" w:sz="0" w:space="0" w:color="auto"/>
            <w:bottom w:val="none" w:sz="0" w:space="0" w:color="auto"/>
            <w:right w:val="none" w:sz="0" w:space="0" w:color="auto"/>
          </w:divBdr>
          <w:divsChild>
            <w:div w:id="1986274890">
              <w:marLeft w:val="0"/>
              <w:marRight w:val="0"/>
              <w:marTop w:val="0"/>
              <w:marBottom w:val="0"/>
              <w:divBdr>
                <w:top w:val="none" w:sz="0" w:space="0" w:color="auto"/>
                <w:left w:val="none" w:sz="0" w:space="0" w:color="auto"/>
                <w:bottom w:val="none" w:sz="0" w:space="0" w:color="auto"/>
                <w:right w:val="none" w:sz="0" w:space="0" w:color="auto"/>
              </w:divBdr>
            </w:div>
          </w:divsChild>
        </w:div>
        <w:div w:id="973022094">
          <w:marLeft w:val="-225"/>
          <w:marRight w:val="-225"/>
          <w:marTop w:val="0"/>
          <w:marBottom w:val="0"/>
          <w:divBdr>
            <w:top w:val="none" w:sz="0" w:space="0" w:color="auto"/>
            <w:left w:val="none" w:sz="0" w:space="0" w:color="auto"/>
            <w:bottom w:val="none" w:sz="0" w:space="0" w:color="auto"/>
            <w:right w:val="none" w:sz="0" w:space="0" w:color="auto"/>
          </w:divBdr>
          <w:divsChild>
            <w:div w:id="1619021197">
              <w:marLeft w:val="0"/>
              <w:marRight w:val="0"/>
              <w:marTop w:val="0"/>
              <w:marBottom w:val="0"/>
              <w:divBdr>
                <w:top w:val="none" w:sz="0" w:space="0" w:color="auto"/>
                <w:left w:val="none" w:sz="0" w:space="0" w:color="auto"/>
                <w:bottom w:val="none" w:sz="0" w:space="0" w:color="auto"/>
                <w:right w:val="none" w:sz="0" w:space="0" w:color="auto"/>
              </w:divBdr>
            </w:div>
          </w:divsChild>
        </w:div>
        <w:div w:id="96407384">
          <w:marLeft w:val="-225"/>
          <w:marRight w:val="-225"/>
          <w:marTop w:val="0"/>
          <w:marBottom w:val="0"/>
          <w:divBdr>
            <w:top w:val="none" w:sz="0" w:space="0" w:color="auto"/>
            <w:left w:val="none" w:sz="0" w:space="0" w:color="auto"/>
            <w:bottom w:val="none" w:sz="0" w:space="0" w:color="auto"/>
            <w:right w:val="none" w:sz="0" w:space="0" w:color="auto"/>
          </w:divBdr>
          <w:divsChild>
            <w:div w:id="324435670">
              <w:marLeft w:val="0"/>
              <w:marRight w:val="0"/>
              <w:marTop w:val="0"/>
              <w:marBottom w:val="0"/>
              <w:divBdr>
                <w:top w:val="none" w:sz="0" w:space="0" w:color="auto"/>
                <w:left w:val="none" w:sz="0" w:space="0" w:color="auto"/>
                <w:bottom w:val="none" w:sz="0" w:space="0" w:color="auto"/>
                <w:right w:val="none" w:sz="0" w:space="0" w:color="auto"/>
              </w:divBdr>
            </w:div>
          </w:divsChild>
        </w:div>
        <w:div w:id="1793935281">
          <w:marLeft w:val="-225"/>
          <w:marRight w:val="-225"/>
          <w:marTop w:val="0"/>
          <w:marBottom w:val="0"/>
          <w:divBdr>
            <w:top w:val="none" w:sz="0" w:space="0" w:color="auto"/>
            <w:left w:val="none" w:sz="0" w:space="0" w:color="auto"/>
            <w:bottom w:val="none" w:sz="0" w:space="0" w:color="auto"/>
            <w:right w:val="none" w:sz="0" w:space="0" w:color="auto"/>
          </w:divBdr>
          <w:divsChild>
            <w:div w:id="1284383139">
              <w:marLeft w:val="0"/>
              <w:marRight w:val="0"/>
              <w:marTop w:val="0"/>
              <w:marBottom w:val="0"/>
              <w:divBdr>
                <w:top w:val="none" w:sz="0" w:space="0" w:color="auto"/>
                <w:left w:val="none" w:sz="0" w:space="0" w:color="auto"/>
                <w:bottom w:val="none" w:sz="0" w:space="0" w:color="auto"/>
                <w:right w:val="none" w:sz="0" w:space="0" w:color="auto"/>
              </w:divBdr>
            </w:div>
          </w:divsChild>
        </w:div>
        <w:div w:id="1969318507">
          <w:marLeft w:val="-225"/>
          <w:marRight w:val="-225"/>
          <w:marTop w:val="0"/>
          <w:marBottom w:val="0"/>
          <w:divBdr>
            <w:top w:val="none" w:sz="0" w:space="0" w:color="auto"/>
            <w:left w:val="none" w:sz="0" w:space="0" w:color="auto"/>
            <w:bottom w:val="none" w:sz="0" w:space="0" w:color="auto"/>
            <w:right w:val="none" w:sz="0" w:space="0" w:color="auto"/>
          </w:divBdr>
          <w:divsChild>
            <w:div w:id="564144781">
              <w:marLeft w:val="0"/>
              <w:marRight w:val="0"/>
              <w:marTop w:val="0"/>
              <w:marBottom w:val="0"/>
              <w:divBdr>
                <w:top w:val="none" w:sz="0" w:space="0" w:color="auto"/>
                <w:left w:val="none" w:sz="0" w:space="0" w:color="auto"/>
                <w:bottom w:val="none" w:sz="0" w:space="0" w:color="auto"/>
                <w:right w:val="none" w:sz="0" w:space="0" w:color="auto"/>
              </w:divBdr>
            </w:div>
          </w:divsChild>
        </w:div>
        <w:div w:id="1652633324">
          <w:marLeft w:val="-225"/>
          <w:marRight w:val="-225"/>
          <w:marTop w:val="0"/>
          <w:marBottom w:val="0"/>
          <w:divBdr>
            <w:top w:val="none" w:sz="0" w:space="0" w:color="auto"/>
            <w:left w:val="none" w:sz="0" w:space="0" w:color="auto"/>
            <w:bottom w:val="none" w:sz="0" w:space="0" w:color="auto"/>
            <w:right w:val="none" w:sz="0" w:space="0" w:color="auto"/>
          </w:divBdr>
          <w:divsChild>
            <w:div w:id="1056783580">
              <w:marLeft w:val="0"/>
              <w:marRight w:val="0"/>
              <w:marTop w:val="0"/>
              <w:marBottom w:val="0"/>
              <w:divBdr>
                <w:top w:val="none" w:sz="0" w:space="0" w:color="auto"/>
                <w:left w:val="none" w:sz="0" w:space="0" w:color="auto"/>
                <w:bottom w:val="none" w:sz="0" w:space="0" w:color="auto"/>
                <w:right w:val="none" w:sz="0" w:space="0" w:color="auto"/>
              </w:divBdr>
            </w:div>
          </w:divsChild>
        </w:div>
        <w:div w:id="134419465">
          <w:marLeft w:val="-225"/>
          <w:marRight w:val="-225"/>
          <w:marTop w:val="0"/>
          <w:marBottom w:val="0"/>
          <w:divBdr>
            <w:top w:val="none" w:sz="0" w:space="0" w:color="auto"/>
            <w:left w:val="none" w:sz="0" w:space="0" w:color="auto"/>
            <w:bottom w:val="none" w:sz="0" w:space="0" w:color="auto"/>
            <w:right w:val="none" w:sz="0" w:space="0" w:color="auto"/>
          </w:divBdr>
          <w:divsChild>
            <w:div w:id="496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db.jobs/careers/isdb/VacancyDetail.aspx?PageID=2004&amp;VacancyID=1686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2024-03-26T05:34:00Z</dcterms:created>
  <dcterms:modified xsi:type="dcterms:W3CDTF">2024-03-26T05:35:00Z</dcterms:modified>
</cp:coreProperties>
</file>