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Junior Equity and Crypto Trader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Location: Pakistan, Karachi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About Lumida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Lumida is an innovative SEC-registered investment advisor, pioneering in blending alternative investments with a focus on health and community. Our mission, "Invest Beyond the Ordinary," reflects our commitment to offering exceptional investment opportunities.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Opportunity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are seeking a Trader with specialized skills in public equities and cryptocurrencies. Ideal for quantitatively adept individuals, this role is perfect for those with a background in high-performance environments and an athletic mindset.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Core Responsibilities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Implement long and short strategies developed by our research and portfolio management team.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Execute various trades, including market orders, limit orders, and hedging strategies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Review positions daily identifying suitable entry and exit opportunities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Manage trade allocations effectively, ensuring optimal distribution of assets.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Actively review portfolios for tax loss harvesting opportunities and implement strategic substitutions.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Produce a weekly chart book to evaluate decision-making quality and identify areas for improvement.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Monitor portfolio net exposures to sectors, factors, and investment themes, suggeating exposure adjustments as necessary.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Track the performance of thematic baskets, such as meme stocks, biotech stocks, bitcoin-sensitive equities, GLP1s, China-focused stocks, and heavily shorted stocks and generate a daily narrative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Engage in earnings calls, extract key insights, and monitor sector ETF flows, market sentiment, and positioning.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Apply advanced quantitative methods to inform trading decisions.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Remain up-to-date on market trends through extensive reading and research, translating insights into actionable strategies.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Maintain a culture of personal accountability and strive for excellence in market performance.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Perform data analysis using GPT Code Interpreter and document and present results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Parse and identify compelling research &amp; investment themes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Meet with clients and attend events or conferences from time to time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Candidate Profile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 Expertise in trading public equities and </w:t>
      </w:r>
      <w:r w:rsidDel="00000000" w:rsidR="00000000" w:rsidRPr="00000000">
        <w:rPr>
          <w:b w:val="1"/>
          <w:rtl w:val="0"/>
        </w:rPr>
        <w:t xml:space="preserve">cryptocurrencies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Adept and fluent with Google Sheets, GPT prompting, and other trading tools, Koyfin, Trading View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Proficient in a range of trading strategies and financial instruments.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 History of high achievement in demanding environments, such as athletics.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Strong analytical and quantitative skills.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Committed reader with a passion for financial trends and market dynamics.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 Passionate about mastering financial market intricacies.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 Open to various levels of experience, with a deep commitment to mastering financial markets.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Joining Lumida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At Lumida, you will join a team that values the holistic growth of both clients and employees. We offer an environment conducive to continuous learning, intellectual development, and impactful community engagement, all built on a foundation of exceptional investment expertise.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 us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Please send your CV and cover letter to 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diana@lumida.com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rtl w:val="0"/>
        </w:rPr>
        <w:t xml:space="preserve">Deadline: End of March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iana@lum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