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798E4" w14:textId="5FAB60AF" w:rsidR="00E33357" w:rsidRPr="00F34458" w:rsidRDefault="00E33357" w:rsidP="00086977">
      <w:pPr>
        <w:spacing w:after="0" w:line="252" w:lineRule="auto"/>
        <w:jc w:val="both"/>
        <w:rPr>
          <w:b/>
          <w:bCs/>
        </w:rPr>
      </w:pPr>
      <w:bookmarkStart w:id="0" w:name="_GoBack"/>
      <w:bookmarkEnd w:id="0"/>
      <w:r w:rsidRPr="00F34458">
        <w:rPr>
          <w:b/>
          <w:bCs/>
          <w:u w:val="single"/>
        </w:rPr>
        <w:t>Job Available</w:t>
      </w:r>
      <w:r w:rsidRPr="00F34458">
        <w:rPr>
          <w:b/>
          <w:bCs/>
        </w:rPr>
        <w:t xml:space="preserve"> – Alpha Beta Core</w:t>
      </w:r>
    </w:p>
    <w:p w14:paraId="5A514056" w14:textId="753D4C50" w:rsidR="00E33357" w:rsidRPr="00F34458" w:rsidRDefault="00E33357" w:rsidP="00086977">
      <w:pPr>
        <w:spacing w:after="0" w:line="252" w:lineRule="auto"/>
        <w:jc w:val="both"/>
      </w:pPr>
      <w:r w:rsidRPr="00F34458">
        <w:t xml:space="preserve">Position: </w:t>
      </w:r>
      <w:r w:rsidR="006946CE" w:rsidRPr="00F34458">
        <w:t>A</w:t>
      </w:r>
      <w:r w:rsidR="00887989">
        <w:t>ssociate</w:t>
      </w:r>
      <w:r w:rsidR="005C5F11">
        <w:t xml:space="preserve">, </w:t>
      </w:r>
      <w:r w:rsidR="006946CE" w:rsidRPr="00F34458">
        <w:t>Corporate Finance</w:t>
      </w:r>
    </w:p>
    <w:p w14:paraId="140D2C08" w14:textId="47E9F52A" w:rsidR="00D936FD" w:rsidRPr="00F34458" w:rsidRDefault="00D936FD" w:rsidP="00086977">
      <w:pPr>
        <w:spacing w:before="120" w:after="0" w:line="252" w:lineRule="auto"/>
        <w:jc w:val="both"/>
        <w:rPr>
          <w:b/>
          <w:bCs/>
          <w:u w:val="single"/>
        </w:rPr>
      </w:pPr>
      <w:r w:rsidRPr="00F34458">
        <w:rPr>
          <w:b/>
          <w:bCs/>
          <w:u w:val="single"/>
        </w:rPr>
        <w:t>Job Overview:</w:t>
      </w:r>
    </w:p>
    <w:p w14:paraId="43D061DC" w14:textId="045196BC" w:rsidR="00D936FD" w:rsidRPr="00F34458" w:rsidRDefault="00095724" w:rsidP="00086977">
      <w:pPr>
        <w:spacing w:after="0" w:line="252" w:lineRule="auto"/>
        <w:jc w:val="both"/>
      </w:pPr>
      <w:r w:rsidRPr="00095724">
        <w:t>We are seeking a highly skilled and detail-oriented Associate to join our Corporate Finance team. As an Associate, you will play a pivotal role in advising clients on a wide range of corporate finance transactions, including mergers and acquisitions, divestitures, valuations, and capital raising. You will work closely with senior management and deal teams to provide strategic guidance, financial analysis, and execution support</w:t>
      </w:r>
      <w:r w:rsidR="00F82710" w:rsidRPr="00F34458">
        <w:t>.</w:t>
      </w:r>
    </w:p>
    <w:p w14:paraId="027B3563" w14:textId="3DD669D5" w:rsidR="00E33357" w:rsidRPr="00F34458" w:rsidRDefault="00E33357" w:rsidP="00086977">
      <w:pPr>
        <w:spacing w:before="120" w:after="0" w:line="252" w:lineRule="auto"/>
        <w:jc w:val="both"/>
        <w:rPr>
          <w:b/>
          <w:bCs/>
          <w:u w:val="single"/>
        </w:rPr>
      </w:pPr>
      <w:r w:rsidRPr="00F34458">
        <w:rPr>
          <w:b/>
          <w:bCs/>
          <w:u w:val="single"/>
        </w:rPr>
        <w:t>Job Description:</w:t>
      </w:r>
    </w:p>
    <w:p w14:paraId="09394BBA" w14:textId="77777777" w:rsidR="00EF1B50" w:rsidRDefault="00EF1B50" w:rsidP="00EF1B50">
      <w:pPr>
        <w:pStyle w:val="ListParagraph"/>
        <w:numPr>
          <w:ilvl w:val="0"/>
          <w:numId w:val="2"/>
        </w:numPr>
        <w:spacing w:after="0" w:line="252" w:lineRule="auto"/>
        <w:ind w:left="360" w:hanging="270"/>
        <w:jc w:val="both"/>
      </w:pPr>
      <w:r>
        <w:t>Develop detailed financial models to support the evaluation of potential transactions, including discounted cash flow (DCF), comparable company analysis etc.</w:t>
      </w:r>
    </w:p>
    <w:p w14:paraId="761AE633" w14:textId="77777777" w:rsidR="00EF1B50" w:rsidRDefault="00EF1B50" w:rsidP="00EF1B50">
      <w:pPr>
        <w:pStyle w:val="ListParagraph"/>
        <w:numPr>
          <w:ilvl w:val="0"/>
          <w:numId w:val="2"/>
        </w:numPr>
        <w:spacing w:after="0" w:line="252" w:lineRule="auto"/>
        <w:ind w:left="360" w:hanging="270"/>
        <w:jc w:val="both"/>
      </w:pPr>
      <w:r>
        <w:t>Conduct financial analysis to assess the impact of different deal structures, financing alternatives, and strategic options.</w:t>
      </w:r>
    </w:p>
    <w:p w14:paraId="00FE253F" w14:textId="77777777" w:rsidR="00EF1B50" w:rsidRDefault="00EF1B50" w:rsidP="00EF1B50">
      <w:pPr>
        <w:pStyle w:val="ListParagraph"/>
        <w:numPr>
          <w:ilvl w:val="0"/>
          <w:numId w:val="2"/>
        </w:numPr>
        <w:spacing w:after="0" w:line="252" w:lineRule="auto"/>
        <w:ind w:left="360" w:hanging="270"/>
        <w:jc w:val="both"/>
      </w:pPr>
      <w:r>
        <w:t>Support the end-to-end execution of capital raising and other corporate finance transactions including liaison with other stakeholders such as external advisors, legal counsels, regulatory authorities etc.</w:t>
      </w:r>
    </w:p>
    <w:p w14:paraId="30E798F6" w14:textId="77777777" w:rsidR="00EF1B50" w:rsidRDefault="00EF1B50" w:rsidP="00EF1B50">
      <w:pPr>
        <w:pStyle w:val="ListParagraph"/>
        <w:numPr>
          <w:ilvl w:val="0"/>
          <w:numId w:val="2"/>
        </w:numPr>
        <w:spacing w:after="0" w:line="252" w:lineRule="auto"/>
        <w:ind w:left="360" w:hanging="270"/>
        <w:jc w:val="both"/>
      </w:pPr>
      <w:r>
        <w:t>Prepare high-quality presentations, investment memorandums, and reports for clients, senior management, and external stakeholders.</w:t>
      </w:r>
    </w:p>
    <w:p w14:paraId="3FE3DC40" w14:textId="77777777" w:rsidR="00EF1B50" w:rsidRDefault="00EF1B50" w:rsidP="00EF1B50">
      <w:pPr>
        <w:pStyle w:val="ListParagraph"/>
        <w:numPr>
          <w:ilvl w:val="0"/>
          <w:numId w:val="2"/>
        </w:numPr>
        <w:spacing w:after="0" w:line="252" w:lineRule="auto"/>
        <w:ind w:left="360" w:hanging="270"/>
        <w:jc w:val="both"/>
      </w:pPr>
      <w:r>
        <w:t>Provide strategic insights and recommendations based on thorough financial analysis to assist clients in decision-making.</w:t>
      </w:r>
    </w:p>
    <w:p w14:paraId="23856226" w14:textId="77777777" w:rsidR="00EF1B50" w:rsidRDefault="00EF1B50" w:rsidP="00EF1B50">
      <w:pPr>
        <w:pStyle w:val="ListParagraph"/>
        <w:numPr>
          <w:ilvl w:val="0"/>
          <w:numId w:val="2"/>
        </w:numPr>
        <w:spacing w:after="0" w:line="252" w:lineRule="auto"/>
        <w:ind w:left="360" w:hanging="270"/>
        <w:jc w:val="both"/>
      </w:pPr>
      <w:r>
        <w:t>Conduct in-depth market research and industry analysis to identify potential investment opportunities and assess market trends.</w:t>
      </w:r>
    </w:p>
    <w:p w14:paraId="4F131456" w14:textId="77777777" w:rsidR="00EF1B50" w:rsidRDefault="00EF1B50" w:rsidP="00EF1B50">
      <w:pPr>
        <w:pStyle w:val="ListParagraph"/>
        <w:numPr>
          <w:ilvl w:val="0"/>
          <w:numId w:val="2"/>
        </w:numPr>
        <w:spacing w:after="0" w:line="252" w:lineRule="auto"/>
        <w:ind w:left="360" w:hanging="270"/>
        <w:jc w:val="both"/>
      </w:pPr>
      <w:r>
        <w:t>Stay updated on economic trends and corporate finance best practices to enhance the firm's transaction strategies.</w:t>
      </w:r>
    </w:p>
    <w:p w14:paraId="29FFFA7D" w14:textId="77777777" w:rsidR="00EF1B50" w:rsidRDefault="00EF1B50" w:rsidP="00EF1B50">
      <w:pPr>
        <w:pStyle w:val="ListParagraph"/>
        <w:numPr>
          <w:ilvl w:val="0"/>
          <w:numId w:val="2"/>
        </w:numPr>
        <w:spacing w:after="0" w:line="252" w:lineRule="auto"/>
        <w:ind w:left="360" w:hanging="270"/>
        <w:jc w:val="both"/>
      </w:pPr>
      <w:r>
        <w:t>Work closely with senior management, investment bankers, and cross-functional teams to ensure alignment on transaction objectives and execution.</w:t>
      </w:r>
    </w:p>
    <w:p w14:paraId="77BD4327" w14:textId="5C395FAE" w:rsidR="00746C04" w:rsidRPr="00F34458" w:rsidRDefault="00EF1B50" w:rsidP="00EF1B50">
      <w:pPr>
        <w:pStyle w:val="ListParagraph"/>
        <w:numPr>
          <w:ilvl w:val="0"/>
          <w:numId w:val="2"/>
        </w:numPr>
        <w:spacing w:after="0" w:line="252" w:lineRule="auto"/>
        <w:ind w:left="360" w:hanging="270"/>
        <w:jc w:val="both"/>
      </w:pPr>
      <w:r>
        <w:t>Lead smaller projects or workstreams within larger transactions, managing key aspects of the process independently</w:t>
      </w:r>
      <w:r w:rsidR="00746C04" w:rsidRPr="00F34458">
        <w:t>.</w:t>
      </w:r>
    </w:p>
    <w:p w14:paraId="52F0F21D" w14:textId="77777777" w:rsidR="009D37AE" w:rsidRPr="00F34458" w:rsidRDefault="009D37AE" w:rsidP="00086977">
      <w:pPr>
        <w:spacing w:before="120" w:after="0" w:line="252" w:lineRule="auto"/>
        <w:jc w:val="both"/>
        <w:rPr>
          <w:b/>
          <w:bCs/>
          <w:u w:val="single"/>
        </w:rPr>
      </w:pPr>
      <w:r w:rsidRPr="00F34458">
        <w:rPr>
          <w:b/>
          <w:bCs/>
          <w:u w:val="single"/>
        </w:rPr>
        <w:t>Job Requirements:</w:t>
      </w:r>
    </w:p>
    <w:p w14:paraId="31E48677" w14:textId="77777777" w:rsidR="007C667C" w:rsidRDefault="007C667C" w:rsidP="007C667C">
      <w:pPr>
        <w:pStyle w:val="ListParagraph"/>
        <w:numPr>
          <w:ilvl w:val="0"/>
          <w:numId w:val="3"/>
        </w:numPr>
        <w:spacing w:after="0" w:line="252" w:lineRule="auto"/>
        <w:ind w:left="360" w:hanging="270"/>
        <w:jc w:val="both"/>
      </w:pPr>
      <w:r>
        <w:t>Qualification: BBA/BS/MBA (Finance/Accounting/Economics) and CFA candidate.</w:t>
      </w:r>
    </w:p>
    <w:p w14:paraId="27075B0C" w14:textId="77777777" w:rsidR="007C667C" w:rsidRDefault="007C667C" w:rsidP="007C667C">
      <w:pPr>
        <w:pStyle w:val="ListParagraph"/>
        <w:numPr>
          <w:ilvl w:val="0"/>
          <w:numId w:val="3"/>
        </w:numPr>
        <w:spacing w:after="0" w:line="252" w:lineRule="auto"/>
        <w:ind w:left="360" w:hanging="270"/>
        <w:jc w:val="both"/>
      </w:pPr>
      <w:r>
        <w:t>Experience: 3-5 years of professional experience in corporate finance, investment banking and transaction advisory.</w:t>
      </w:r>
    </w:p>
    <w:p w14:paraId="603CB0B3" w14:textId="77777777" w:rsidR="007C667C" w:rsidRDefault="007C667C" w:rsidP="007C667C">
      <w:pPr>
        <w:pStyle w:val="ListParagraph"/>
        <w:numPr>
          <w:ilvl w:val="0"/>
          <w:numId w:val="3"/>
        </w:numPr>
        <w:spacing w:after="0" w:line="252" w:lineRule="auto"/>
        <w:ind w:left="360" w:hanging="270"/>
        <w:jc w:val="both"/>
      </w:pPr>
      <w:r>
        <w:t>Strong financial modeling and analytical skills, with proficiency in Excel and financial software.</w:t>
      </w:r>
    </w:p>
    <w:p w14:paraId="1353BEF6" w14:textId="77777777" w:rsidR="007C667C" w:rsidRDefault="007C667C" w:rsidP="007C667C">
      <w:pPr>
        <w:pStyle w:val="ListParagraph"/>
        <w:numPr>
          <w:ilvl w:val="0"/>
          <w:numId w:val="3"/>
        </w:numPr>
        <w:spacing w:after="0" w:line="252" w:lineRule="auto"/>
        <w:ind w:left="360" w:hanging="270"/>
        <w:jc w:val="both"/>
      </w:pPr>
      <w:r>
        <w:t>Excellent understanding of financial statements, corporate finance principles, and valuation techniques.</w:t>
      </w:r>
    </w:p>
    <w:p w14:paraId="0ED1A77B" w14:textId="77777777" w:rsidR="007C667C" w:rsidRDefault="007C667C" w:rsidP="007C667C">
      <w:pPr>
        <w:pStyle w:val="ListParagraph"/>
        <w:numPr>
          <w:ilvl w:val="0"/>
          <w:numId w:val="3"/>
        </w:numPr>
        <w:spacing w:after="0" w:line="252" w:lineRule="auto"/>
        <w:ind w:left="360" w:hanging="270"/>
        <w:jc w:val="both"/>
      </w:pPr>
      <w:r>
        <w:t>Strong communication and presentation skills, with the ability to convey complex financial concepts to non-financial stakeholders.</w:t>
      </w:r>
    </w:p>
    <w:p w14:paraId="2F93C4C8" w14:textId="6BEC6657" w:rsidR="009D37AE" w:rsidRPr="00F34458" w:rsidRDefault="007C667C" w:rsidP="001B2D48">
      <w:pPr>
        <w:pStyle w:val="ListParagraph"/>
        <w:numPr>
          <w:ilvl w:val="0"/>
          <w:numId w:val="3"/>
        </w:numPr>
        <w:spacing w:after="0" w:line="252" w:lineRule="auto"/>
        <w:ind w:left="360" w:hanging="270"/>
        <w:jc w:val="both"/>
      </w:pPr>
      <w:r>
        <w:t>Ability to work collaboratively in a fast-paced environment</w:t>
      </w:r>
      <w:r w:rsidR="00B65ACA">
        <w:t xml:space="preserve"> and</w:t>
      </w:r>
      <w:r>
        <w:t xml:space="preserve"> manage multiple projects</w:t>
      </w:r>
      <w:r w:rsidR="009D37AE" w:rsidRPr="00F34458">
        <w:t>.</w:t>
      </w:r>
    </w:p>
    <w:p w14:paraId="1CA9894B" w14:textId="3BF999F4" w:rsidR="00602D39" w:rsidRPr="00F34458" w:rsidRDefault="0062204C" w:rsidP="00086977">
      <w:pPr>
        <w:spacing w:before="120" w:after="0" w:line="252" w:lineRule="auto"/>
        <w:jc w:val="both"/>
      </w:pPr>
      <w:r w:rsidRPr="00F34458">
        <w:t xml:space="preserve">If you are a driven and analytical professional with a passion for </w:t>
      </w:r>
      <w:r w:rsidR="00965D4D" w:rsidRPr="00F34458">
        <w:t>corporate finance</w:t>
      </w:r>
      <w:r w:rsidRPr="00F34458">
        <w:t>, and meet the qualifications mentioned above, we encourage you to apply for this exciting opportunity.</w:t>
      </w:r>
    </w:p>
    <w:p w14:paraId="07DE14EB" w14:textId="383914C8" w:rsidR="003D124A" w:rsidRPr="00F34458" w:rsidRDefault="00E33357" w:rsidP="00086977">
      <w:pPr>
        <w:spacing w:before="120" w:after="0" w:line="252" w:lineRule="auto"/>
        <w:jc w:val="both"/>
      </w:pPr>
      <w:r w:rsidRPr="00F34458">
        <w:rPr>
          <w:b/>
          <w:bCs/>
          <w:u w:val="single"/>
        </w:rPr>
        <w:t>Location:</w:t>
      </w:r>
      <w:r w:rsidRPr="00F34458">
        <w:t xml:space="preserve"> Karachi</w:t>
      </w:r>
    </w:p>
    <w:p w14:paraId="2889B473" w14:textId="6E435876" w:rsidR="003D124A" w:rsidRPr="00F34458" w:rsidRDefault="00E33357" w:rsidP="00086977">
      <w:pPr>
        <w:spacing w:before="120" w:after="0" w:line="252" w:lineRule="auto"/>
        <w:jc w:val="both"/>
      </w:pPr>
      <w:r w:rsidRPr="00F34458">
        <w:rPr>
          <w:b/>
          <w:bCs/>
          <w:u w:val="single"/>
        </w:rPr>
        <w:t>Salary</w:t>
      </w:r>
      <w:r w:rsidRPr="00F34458">
        <w:rPr>
          <w:u w:val="single"/>
        </w:rPr>
        <w:t>:</w:t>
      </w:r>
      <w:r w:rsidRPr="00F34458">
        <w:t xml:space="preserve"> Compatible</w:t>
      </w:r>
    </w:p>
    <w:p w14:paraId="1FF4284B" w14:textId="1CEC6E2B" w:rsidR="002D25FA" w:rsidRPr="00EB3A02" w:rsidRDefault="0082409A" w:rsidP="00086977">
      <w:pPr>
        <w:spacing w:before="120" w:after="0" w:line="252" w:lineRule="auto"/>
        <w:jc w:val="both"/>
      </w:pPr>
      <w:r w:rsidRPr="00F34458">
        <w:t xml:space="preserve">Interested candidates </w:t>
      </w:r>
      <w:r w:rsidR="00E94282" w:rsidRPr="00F34458">
        <w:t xml:space="preserve">can send their CVs to </w:t>
      </w:r>
      <w:hyperlink r:id="rId10" w:history="1">
        <w:r w:rsidR="00965D4D" w:rsidRPr="00F34458">
          <w:rPr>
            <w:rStyle w:val="Hyperlink"/>
            <w:b/>
            <w:bCs/>
          </w:rPr>
          <w:t>hr@alphabetacore.com</w:t>
        </w:r>
      </w:hyperlink>
      <w:r w:rsidR="00086977">
        <w:rPr>
          <w:b/>
          <w:bCs/>
        </w:rPr>
        <w:t xml:space="preserve"> </w:t>
      </w:r>
      <w:r w:rsidR="00086977">
        <w:t xml:space="preserve">by </w:t>
      </w:r>
      <w:r w:rsidR="00BC36EF">
        <w:t>October 10, 20</w:t>
      </w:r>
      <w:r w:rsidR="005C5F11">
        <w:t>24</w:t>
      </w:r>
      <w:r w:rsidR="00086977">
        <w:t>.</w:t>
      </w:r>
    </w:p>
    <w:sectPr w:rsidR="002D25FA" w:rsidRPr="00EB3A02" w:rsidSect="00F34458">
      <w:headerReference w:type="default" r:id="rId11"/>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0A451" w14:textId="77777777" w:rsidR="00E27A0A" w:rsidRDefault="00E27A0A" w:rsidP="00624263">
      <w:pPr>
        <w:spacing w:after="0" w:line="240" w:lineRule="auto"/>
      </w:pPr>
      <w:r>
        <w:separator/>
      </w:r>
    </w:p>
  </w:endnote>
  <w:endnote w:type="continuationSeparator" w:id="0">
    <w:p w14:paraId="138717FC" w14:textId="77777777" w:rsidR="00E27A0A" w:rsidRDefault="00E27A0A" w:rsidP="00624263">
      <w:pPr>
        <w:spacing w:after="0" w:line="240" w:lineRule="auto"/>
      </w:pPr>
      <w:r>
        <w:continuationSeparator/>
      </w:r>
    </w:p>
  </w:endnote>
  <w:endnote w:type="continuationNotice" w:id="1">
    <w:p w14:paraId="383AD243" w14:textId="77777777" w:rsidR="00E27A0A" w:rsidRDefault="00E27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169A" w14:textId="77777777" w:rsidR="00EB3A02" w:rsidRDefault="00EB3A02" w:rsidP="00EB3A02">
    <w:pPr>
      <w:pStyle w:val="Footer"/>
      <w:rPr>
        <w:b/>
        <w:bCs/>
        <w:sz w:val="18"/>
        <w:szCs w:val="18"/>
      </w:rPr>
    </w:pPr>
  </w:p>
  <w:p w14:paraId="5876CAD1" w14:textId="77777777" w:rsidR="00EB3A02" w:rsidRDefault="00EB3A02" w:rsidP="00EB3A02">
    <w:pPr>
      <w:pStyle w:val="Footer"/>
      <w:rPr>
        <w:b/>
        <w:bCs/>
        <w:sz w:val="18"/>
        <w:szCs w:val="18"/>
      </w:rPr>
    </w:pPr>
    <w:r w:rsidRPr="008A13B1">
      <w:rPr>
        <w:b/>
        <w:bCs/>
        <w:noProof/>
        <w:sz w:val="18"/>
        <w:szCs w:val="18"/>
      </w:rPr>
      <mc:AlternateContent>
        <mc:Choice Requires="wps">
          <w:drawing>
            <wp:anchor distT="0" distB="0" distL="114300" distR="114300" simplePos="0" relativeHeight="251658241" behindDoc="0" locked="0" layoutInCell="1" allowOverlap="1" wp14:anchorId="0EC61AEB" wp14:editId="610355CD">
              <wp:simplePos x="0" y="0"/>
              <wp:positionH relativeFrom="column">
                <wp:posOffset>-101600</wp:posOffset>
              </wp:positionH>
              <wp:positionV relativeFrom="paragraph">
                <wp:posOffset>162560</wp:posOffset>
              </wp:positionV>
              <wp:extent cx="3333750" cy="7366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6600"/>
                      </a:xfrm>
                      <a:prstGeom prst="rect">
                        <a:avLst/>
                      </a:prstGeom>
                      <a:noFill/>
                      <a:ln w="9525">
                        <a:noFill/>
                        <a:miter lim="800000"/>
                        <a:headEnd/>
                        <a:tailEnd/>
                      </a:ln>
                    </wps:spPr>
                    <wps:txbx>
                      <w:txbxContent>
                        <w:p w14:paraId="0584235A" w14:textId="77777777" w:rsidR="00EB3A02" w:rsidRPr="00721FA8" w:rsidRDefault="00EB3A02" w:rsidP="00EB3A02">
                          <w:pPr>
                            <w:pStyle w:val="Footer"/>
                            <w:rPr>
                              <w:b/>
                              <w:bCs/>
                              <w:sz w:val="16"/>
                              <w:szCs w:val="16"/>
                            </w:rPr>
                          </w:pPr>
                          <w:r w:rsidRPr="00721FA8">
                            <w:rPr>
                              <w:b/>
                              <w:bCs/>
                              <w:sz w:val="16"/>
                              <w:szCs w:val="16"/>
                            </w:rPr>
                            <w:t>United Arab Emirates</w:t>
                          </w:r>
                        </w:p>
                        <w:p w14:paraId="394CE3A6" w14:textId="77777777" w:rsidR="00EB3A02" w:rsidRPr="00721FA8" w:rsidRDefault="00EB3A02" w:rsidP="00EB3A02">
                          <w:pPr>
                            <w:pStyle w:val="Footer"/>
                            <w:rPr>
                              <w:sz w:val="16"/>
                              <w:szCs w:val="16"/>
                            </w:rPr>
                          </w:pPr>
                          <w:r w:rsidRPr="00721FA8">
                            <w:rPr>
                              <w:sz w:val="16"/>
                              <w:szCs w:val="16"/>
                            </w:rPr>
                            <w:t xml:space="preserve">Building Techno Hub 1 I Unit G147D | Dubai Silicon Oasis </w:t>
                          </w:r>
                        </w:p>
                        <w:p w14:paraId="55C63ABC" w14:textId="77777777" w:rsidR="00EB3A02" w:rsidRDefault="00EB3A02" w:rsidP="00EB3A02">
                          <w:pPr>
                            <w:pStyle w:val="Footer"/>
                            <w:rPr>
                              <w:sz w:val="16"/>
                              <w:szCs w:val="16"/>
                            </w:rPr>
                          </w:pPr>
                          <w:r w:rsidRPr="00721FA8">
                            <w:rPr>
                              <w:sz w:val="16"/>
                              <w:szCs w:val="16"/>
                            </w:rPr>
                            <w:t>Dubai Integrated Economic Zones Authority | Dubai I United Arab Emirates</w:t>
                          </w:r>
                        </w:p>
                        <w:p w14:paraId="30C81990" w14:textId="77777777" w:rsidR="00EB3A02" w:rsidRDefault="00EB3A02" w:rsidP="00EB3A02">
                          <w:pPr>
                            <w:pStyle w:val="Footer"/>
                            <w:rPr>
                              <w:sz w:val="16"/>
                              <w:szCs w:val="16"/>
                            </w:rPr>
                          </w:pPr>
                        </w:p>
                        <w:p w14:paraId="078965EF" w14:textId="77777777" w:rsidR="00EB3A02" w:rsidRDefault="00EB3A02" w:rsidP="00EB3A02">
                          <w:pPr>
                            <w:pStyle w:val="Footer"/>
                            <w:rPr>
                              <w:sz w:val="16"/>
                              <w:szCs w:val="16"/>
                            </w:rPr>
                          </w:pPr>
                          <w:r w:rsidRPr="00205587">
                            <w:rPr>
                              <w:b/>
                              <w:bCs/>
                              <w:sz w:val="16"/>
                              <w:szCs w:val="16"/>
                            </w:rPr>
                            <w:t>Email</w:t>
                          </w:r>
                          <w:r>
                            <w:rPr>
                              <w:sz w:val="16"/>
                              <w:szCs w:val="16"/>
                            </w:rPr>
                            <w:t xml:space="preserve">: </w:t>
                          </w:r>
                          <w:hyperlink r:id="rId1" w:history="1">
                            <w:r w:rsidRPr="00245D21">
                              <w:rPr>
                                <w:rStyle w:val="Hyperlink"/>
                                <w:sz w:val="16"/>
                                <w:szCs w:val="16"/>
                              </w:rPr>
                              <w:t>info@alphabetacore.com</w:t>
                            </w:r>
                          </w:hyperlink>
                          <w:r>
                            <w:rPr>
                              <w:sz w:val="16"/>
                              <w:szCs w:val="16"/>
                            </w:rPr>
                            <w:t xml:space="preserve"> | </w:t>
                          </w:r>
                          <w:r w:rsidRPr="00205587">
                            <w:rPr>
                              <w:b/>
                              <w:bCs/>
                              <w:sz w:val="16"/>
                              <w:szCs w:val="16"/>
                            </w:rPr>
                            <w:t>Website</w:t>
                          </w:r>
                          <w:r>
                            <w:rPr>
                              <w:sz w:val="16"/>
                              <w:szCs w:val="16"/>
                            </w:rPr>
                            <w:t>: www.alphabetacore.com</w:t>
                          </w:r>
                        </w:p>
                        <w:p w14:paraId="3D183347" w14:textId="77777777" w:rsidR="00EB3A02" w:rsidRPr="008A13B1" w:rsidRDefault="00EB3A02" w:rsidP="00EB3A02">
                          <w:pPr>
                            <w:pStyle w:val="Foo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C61AEB" id="_x0000_t202" coordsize="21600,21600" o:spt="202" path="m,l,21600r21600,l21600,xe">
              <v:stroke joinstyle="miter"/>
              <v:path gradientshapeok="t" o:connecttype="rect"/>
            </v:shapetype>
            <v:shape id="Text Box 2" o:spid="_x0000_s1026" type="#_x0000_t202" style="position:absolute;margin-left:-8pt;margin-top:12.8pt;width:262.5pt;height: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" filled="f" stroked="f">
              <v:textbox>
                <w:txbxContent>
                  <w:p w14:paraId="0584235A" w14:textId="77777777" w:rsidR="00EB3A02" w:rsidRPr="00721FA8" w:rsidRDefault="00EB3A02" w:rsidP="00EB3A02">
                    <w:pPr>
                      <w:pStyle w:val="Footer"/>
                      <w:rPr>
                        <w:b/>
                        <w:bCs/>
                        <w:sz w:val="16"/>
                        <w:szCs w:val="16"/>
                      </w:rPr>
                    </w:pPr>
                    <w:r w:rsidRPr="00721FA8">
                      <w:rPr>
                        <w:b/>
                        <w:bCs/>
                        <w:sz w:val="16"/>
                        <w:szCs w:val="16"/>
                      </w:rPr>
                      <w:t>United Arab Emirates</w:t>
                    </w:r>
                  </w:p>
                  <w:p w14:paraId="394CE3A6" w14:textId="77777777" w:rsidR="00EB3A02" w:rsidRPr="00721FA8" w:rsidRDefault="00EB3A02" w:rsidP="00EB3A02">
                    <w:pPr>
                      <w:pStyle w:val="Footer"/>
                      <w:rPr>
                        <w:sz w:val="16"/>
                        <w:szCs w:val="16"/>
                      </w:rPr>
                    </w:pPr>
                    <w:r w:rsidRPr="00721FA8">
                      <w:rPr>
                        <w:sz w:val="16"/>
                        <w:szCs w:val="16"/>
                      </w:rPr>
                      <w:t xml:space="preserve">Building Techno Hub 1 I Unit G147D | Dubai Silicon Oasis </w:t>
                    </w:r>
                  </w:p>
                  <w:p w14:paraId="55C63ABC" w14:textId="77777777" w:rsidR="00EB3A02" w:rsidRDefault="00EB3A02" w:rsidP="00EB3A02">
                    <w:pPr>
                      <w:pStyle w:val="Footer"/>
                      <w:rPr>
                        <w:sz w:val="16"/>
                        <w:szCs w:val="16"/>
                      </w:rPr>
                    </w:pPr>
                    <w:r w:rsidRPr="00721FA8">
                      <w:rPr>
                        <w:sz w:val="16"/>
                        <w:szCs w:val="16"/>
                      </w:rPr>
                      <w:t>Dubai Integrated Economic Zones Authority | Dubai I United Arab Emirates</w:t>
                    </w:r>
                  </w:p>
                  <w:p w14:paraId="30C81990" w14:textId="77777777" w:rsidR="00EB3A02" w:rsidRDefault="00EB3A02" w:rsidP="00EB3A02">
                    <w:pPr>
                      <w:pStyle w:val="Footer"/>
                      <w:rPr>
                        <w:sz w:val="16"/>
                        <w:szCs w:val="16"/>
                      </w:rPr>
                    </w:pPr>
                  </w:p>
                  <w:p w14:paraId="078965EF" w14:textId="77777777" w:rsidR="00EB3A02" w:rsidRDefault="00EB3A02" w:rsidP="00EB3A02">
                    <w:pPr>
                      <w:pStyle w:val="Footer"/>
                      <w:rPr>
                        <w:sz w:val="16"/>
                        <w:szCs w:val="16"/>
                      </w:rPr>
                    </w:pPr>
                    <w:r w:rsidRPr="00205587">
                      <w:rPr>
                        <w:b/>
                        <w:bCs/>
                        <w:sz w:val="16"/>
                        <w:szCs w:val="16"/>
                      </w:rPr>
                      <w:t>Email</w:t>
                    </w:r>
                    <w:r>
                      <w:rPr>
                        <w:sz w:val="16"/>
                        <w:szCs w:val="16"/>
                      </w:rPr>
                      <w:t xml:space="preserve">: </w:t>
                    </w:r>
                    <w:hyperlink r:id="rId2" w:history="1">
                      <w:r w:rsidRPr="00245D21">
                        <w:rPr>
                          <w:rStyle w:val="Hyperlink"/>
                          <w:sz w:val="16"/>
                          <w:szCs w:val="16"/>
                        </w:rPr>
                        <w:t>info@alphabetacore.com</w:t>
                      </w:r>
                    </w:hyperlink>
                    <w:r>
                      <w:rPr>
                        <w:sz w:val="16"/>
                        <w:szCs w:val="16"/>
                      </w:rPr>
                      <w:t xml:space="preserve"> | </w:t>
                    </w:r>
                    <w:r w:rsidRPr="00205587">
                      <w:rPr>
                        <w:b/>
                        <w:bCs/>
                        <w:sz w:val="16"/>
                        <w:szCs w:val="16"/>
                      </w:rPr>
                      <w:t>Website</w:t>
                    </w:r>
                    <w:r>
                      <w:rPr>
                        <w:sz w:val="16"/>
                        <w:szCs w:val="16"/>
                      </w:rPr>
                      <w:t>: www.alphabetacore.com</w:t>
                    </w:r>
                  </w:p>
                  <w:p w14:paraId="3D183347" w14:textId="77777777" w:rsidR="00EB3A02" w:rsidRPr="008A13B1" w:rsidRDefault="00EB3A02" w:rsidP="00EB3A02">
                    <w:pPr>
                      <w:pStyle w:val="Footer"/>
                      <w:rPr>
                        <w:sz w:val="16"/>
                        <w:szCs w:val="16"/>
                      </w:rPr>
                    </w:pPr>
                  </w:p>
                </w:txbxContent>
              </v:textbox>
            </v:shape>
          </w:pict>
        </mc:Fallback>
      </mc:AlternateContent>
    </w:r>
    <w:r w:rsidRPr="008A13B1">
      <w:rPr>
        <w:b/>
        <w:bCs/>
        <w:sz w:val="18"/>
        <w:szCs w:val="18"/>
      </w:rPr>
      <w:t>Alpha Beta Core Solutions (Private) Limited</w:t>
    </w:r>
  </w:p>
  <w:p w14:paraId="604F8898" w14:textId="77777777" w:rsidR="00EB3A02" w:rsidRDefault="00EB3A02" w:rsidP="00EB3A02">
    <w:pPr>
      <w:pStyle w:val="Footer"/>
      <w:rPr>
        <w:b/>
        <w:bCs/>
        <w:sz w:val="18"/>
        <w:szCs w:val="18"/>
      </w:rPr>
    </w:pPr>
    <w:r w:rsidRPr="008A13B1">
      <w:rPr>
        <w:b/>
        <w:bCs/>
        <w:noProof/>
        <w:sz w:val="18"/>
        <w:szCs w:val="18"/>
      </w:rPr>
      <mc:AlternateContent>
        <mc:Choice Requires="wps">
          <w:drawing>
            <wp:anchor distT="0" distB="0" distL="114300" distR="114300" simplePos="0" relativeHeight="251658242" behindDoc="0" locked="0" layoutInCell="1" allowOverlap="1" wp14:anchorId="57FF8EA9" wp14:editId="0210C689">
              <wp:simplePos x="0" y="0"/>
              <wp:positionH relativeFrom="margin">
                <wp:posOffset>3197860</wp:posOffset>
              </wp:positionH>
              <wp:positionV relativeFrom="paragraph">
                <wp:posOffset>24130</wp:posOffset>
              </wp:positionV>
              <wp:extent cx="253365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3985"/>
                      </a:xfrm>
                      <a:prstGeom prst="rect">
                        <a:avLst/>
                      </a:prstGeom>
                      <a:noFill/>
                      <a:ln w="9525">
                        <a:noFill/>
                        <a:miter lim="800000"/>
                        <a:headEnd/>
                        <a:tailEnd/>
                      </a:ln>
                    </wps:spPr>
                    <wps:txbx>
                      <w:txbxContent>
                        <w:p w14:paraId="64740022" w14:textId="77777777" w:rsidR="00EB3A02" w:rsidRPr="008A13B1" w:rsidRDefault="00EB3A02" w:rsidP="00EB3A02">
                          <w:pPr>
                            <w:pStyle w:val="Footer"/>
                            <w:rPr>
                              <w:b/>
                              <w:bCs/>
                              <w:sz w:val="16"/>
                              <w:szCs w:val="16"/>
                            </w:rPr>
                          </w:pPr>
                          <w:r>
                            <w:rPr>
                              <w:b/>
                              <w:bCs/>
                              <w:sz w:val="16"/>
                              <w:szCs w:val="16"/>
                            </w:rPr>
                            <w:t>Pakistan</w:t>
                          </w:r>
                        </w:p>
                        <w:p w14:paraId="51361448" w14:textId="77777777" w:rsidR="00EB3A02" w:rsidRPr="008A13B1" w:rsidRDefault="00EB3A02" w:rsidP="00EB3A02">
                          <w:pPr>
                            <w:pStyle w:val="Footer"/>
                            <w:rPr>
                              <w:sz w:val="16"/>
                              <w:szCs w:val="16"/>
                            </w:rPr>
                          </w:pPr>
                          <w:r w:rsidRPr="00077ABC">
                            <w:rPr>
                              <w:sz w:val="16"/>
                              <w:szCs w:val="16"/>
                            </w:rPr>
                            <w:t xml:space="preserve">Building: 7-C/1 | Office: 303-304, 3rd Floor | Main </w:t>
                          </w:r>
                          <w:proofErr w:type="spellStart"/>
                          <w:r w:rsidRPr="00077ABC">
                            <w:rPr>
                              <w:sz w:val="16"/>
                              <w:szCs w:val="16"/>
                            </w:rPr>
                            <w:t>Khayaban</w:t>
                          </w:r>
                          <w:proofErr w:type="spellEnd"/>
                          <w:r w:rsidRPr="00077ABC">
                            <w:rPr>
                              <w:sz w:val="16"/>
                              <w:szCs w:val="16"/>
                            </w:rPr>
                            <w:t>-e-</w:t>
                          </w:r>
                          <w:proofErr w:type="spellStart"/>
                          <w:r w:rsidRPr="00077ABC">
                            <w:rPr>
                              <w:sz w:val="16"/>
                              <w:szCs w:val="16"/>
                            </w:rPr>
                            <w:t>Ittehad</w:t>
                          </w:r>
                          <w:proofErr w:type="spellEnd"/>
                          <w:r w:rsidRPr="00077ABC">
                            <w:rPr>
                              <w:sz w:val="16"/>
                              <w:szCs w:val="16"/>
                            </w:rPr>
                            <w:t xml:space="preserve"> | DHA Phase-VII | Karachi | Pakistan</w:t>
                          </w:r>
                        </w:p>
                        <w:p w14:paraId="22B4F8A2" w14:textId="77777777" w:rsidR="00EB3A02" w:rsidRPr="008A13B1" w:rsidRDefault="00EB3A02" w:rsidP="00EB3A02">
                          <w:pPr>
                            <w:pStyle w:val="Foo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FF8EA9" id="_x0000_s1027" type="#_x0000_t202" style="position:absolute;margin-left:251.8pt;margin-top:1.9pt;width:199.5pt;height:110.55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" filled="f" stroked="f">
              <v:textbox style="mso-fit-shape-to-text:t">
                <w:txbxContent>
                  <w:p w14:paraId="64740022" w14:textId="77777777" w:rsidR="00EB3A02" w:rsidRPr="008A13B1" w:rsidRDefault="00EB3A02" w:rsidP="00EB3A02">
                    <w:pPr>
                      <w:pStyle w:val="Footer"/>
                      <w:rPr>
                        <w:b/>
                        <w:bCs/>
                        <w:sz w:val="16"/>
                        <w:szCs w:val="16"/>
                      </w:rPr>
                    </w:pPr>
                    <w:r>
                      <w:rPr>
                        <w:b/>
                        <w:bCs/>
                        <w:sz w:val="16"/>
                        <w:szCs w:val="16"/>
                      </w:rPr>
                      <w:t>Pakistan</w:t>
                    </w:r>
                  </w:p>
                  <w:p w14:paraId="51361448" w14:textId="77777777" w:rsidR="00EB3A02" w:rsidRPr="008A13B1" w:rsidRDefault="00EB3A02" w:rsidP="00EB3A02">
                    <w:pPr>
                      <w:pStyle w:val="Footer"/>
                      <w:rPr>
                        <w:sz w:val="16"/>
                        <w:szCs w:val="16"/>
                      </w:rPr>
                    </w:pPr>
                    <w:r w:rsidRPr="00077ABC">
                      <w:rPr>
                        <w:sz w:val="16"/>
                        <w:szCs w:val="16"/>
                      </w:rPr>
                      <w:t xml:space="preserve">Building: 7-C/1 | Office: 303-304, 3rd Floor | Main </w:t>
                    </w:r>
                    <w:proofErr w:type="spellStart"/>
                    <w:r w:rsidRPr="00077ABC">
                      <w:rPr>
                        <w:sz w:val="16"/>
                        <w:szCs w:val="16"/>
                      </w:rPr>
                      <w:t>Khayaban</w:t>
                    </w:r>
                    <w:proofErr w:type="spellEnd"/>
                    <w:r w:rsidRPr="00077ABC">
                      <w:rPr>
                        <w:sz w:val="16"/>
                        <w:szCs w:val="16"/>
                      </w:rPr>
                      <w:t>-e-</w:t>
                    </w:r>
                    <w:proofErr w:type="spellStart"/>
                    <w:r w:rsidRPr="00077ABC">
                      <w:rPr>
                        <w:sz w:val="16"/>
                        <w:szCs w:val="16"/>
                      </w:rPr>
                      <w:t>Ittehad</w:t>
                    </w:r>
                    <w:proofErr w:type="spellEnd"/>
                    <w:r w:rsidRPr="00077ABC">
                      <w:rPr>
                        <w:sz w:val="16"/>
                        <w:szCs w:val="16"/>
                      </w:rPr>
                      <w:t xml:space="preserve"> | DHA Phase-VII | Karachi | Pakistan</w:t>
                    </w:r>
                  </w:p>
                  <w:p w14:paraId="22B4F8A2" w14:textId="77777777" w:rsidR="00EB3A02" w:rsidRPr="008A13B1" w:rsidRDefault="00EB3A02" w:rsidP="00EB3A02">
                    <w:pPr>
                      <w:pStyle w:val="Footer"/>
                      <w:rPr>
                        <w:sz w:val="16"/>
                        <w:szCs w:val="16"/>
                      </w:rPr>
                    </w:pPr>
                  </w:p>
                </w:txbxContent>
              </v:textbox>
              <w10:wrap anchorx="margin"/>
            </v:shape>
          </w:pict>
        </mc:Fallback>
      </mc:AlternateContent>
    </w:r>
  </w:p>
  <w:p w14:paraId="663812CC" w14:textId="77777777" w:rsidR="00EB3A02" w:rsidRDefault="00EB3A02" w:rsidP="00EB3A02">
    <w:pPr>
      <w:pStyle w:val="Footer"/>
      <w:rPr>
        <w:b/>
        <w:bCs/>
        <w:sz w:val="18"/>
        <w:szCs w:val="18"/>
      </w:rPr>
    </w:pPr>
  </w:p>
  <w:p w14:paraId="10360550" w14:textId="77777777" w:rsidR="00EB3A02" w:rsidRDefault="00EB3A02" w:rsidP="00EB3A02">
    <w:pPr>
      <w:pStyle w:val="Foote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99E5D" w14:textId="77777777" w:rsidR="00E27A0A" w:rsidRDefault="00E27A0A" w:rsidP="00624263">
      <w:pPr>
        <w:spacing w:after="0" w:line="240" w:lineRule="auto"/>
      </w:pPr>
      <w:r>
        <w:separator/>
      </w:r>
    </w:p>
  </w:footnote>
  <w:footnote w:type="continuationSeparator" w:id="0">
    <w:p w14:paraId="3FEC0B49" w14:textId="77777777" w:rsidR="00E27A0A" w:rsidRDefault="00E27A0A" w:rsidP="00624263">
      <w:pPr>
        <w:spacing w:after="0" w:line="240" w:lineRule="auto"/>
      </w:pPr>
      <w:r>
        <w:continuationSeparator/>
      </w:r>
    </w:p>
  </w:footnote>
  <w:footnote w:type="continuationNotice" w:id="1">
    <w:p w14:paraId="23D863FA" w14:textId="77777777" w:rsidR="00E27A0A" w:rsidRDefault="00E27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C624" w14:textId="77777777" w:rsidR="00636A97" w:rsidRDefault="00636A97" w:rsidP="00636A97">
    <w:pPr>
      <w:pStyle w:val="Header"/>
      <w:tabs>
        <w:tab w:val="clear" w:pos="4680"/>
        <w:tab w:val="clear" w:pos="9360"/>
        <w:tab w:val="left" w:pos="8325"/>
      </w:tabs>
      <w:jc w:val="right"/>
      <w:rPr>
        <w:rFonts w:ascii="Arial Narrow" w:hAnsi="Arial Narrow"/>
        <w:b/>
        <w:color w:val="FF0000"/>
        <w:u w:val="single"/>
      </w:rPr>
    </w:pPr>
    <w:r w:rsidRPr="007B3812">
      <w:rPr>
        <w:noProof/>
      </w:rPr>
      <w:drawing>
        <wp:anchor distT="0" distB="0" distL="114300" distR="114300" simplePos="0" relativeHeight="251658240" behindDoc="0" locked="0" layoutInCell="1" allowOverlap="1" wp14:anchorId="47EC9555" wp14:editId="5A29BB2A">
          <wp:simplePos x="0" y="0"/>
          <wp:positionH relativeFrom="margin">
            <wp:align>left</wp:align>
          </wp:positionH>
          <wp:positionV relativeFrom="paragraph">
            <wp:posOffset>7264</wp:posOffset>
          </wp:positionV>
          <wp:extent cx="1085850" cy="474400"/>
          <wp:effectExtent l="0" t="0" r="0" b="1905"/>
          <wp:wrapThrough wrapText="bothSides">
            <wp:wrapPolygon edited="0">
              <wp:start x="4168" y="0"/>
              <wp:lineTo x="0" y="11277"/>
              <wp:lineTo x="379" y="13012"/>
              <wp:lineTo x="1895" y="14747"/>
              <wp:lineTo x="1516" y="19952"/>
              <wp:lineTo x="3789" y="20819"/>
              <wp:lineTo x="5305" y="20819"/>
              <wp:lineTo x="19326" y="19952"/>
              <wp:lineTo x="19705" y="16482"/>
              <wp:lineTo x="21221" y="13880"/>
              <wp:lineTo x="21221" y="12145"/>
              <wp:lineTo x="17053" y="0"/>
              <wp:lineTo x="4168"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_logo.pdf"/>
                  <pic:cNvPicPr/>
                </pic:nvPicPr>
                <pic:blipFill>
                  <a:blip r:embed="rId1">
                    <a:extLst>
                      <a:ext uri="{28A0092B-C50C-407E-A947-70E740481C1C}">
                        <a14:useLocalDpi xmlns:a14="http://schemas.microsoft.com/office/drawing/2010/main" val="0"/>
                      </a:ext>
                    </a:extLst>
                  </a:blip>
                  <a:stretch>
                    <a:fillRect/>
                  </a:stretch>
                </pic:blipFill>
                <pic:spPr>
                  <a:xfrm>
                    <a:off x="0" y="0"/>
                    <a:ext cx="1085850" cy="474400"/>
                  </a:xfrm>
                  <a:prstGeom prst="rect">
                    <a:avLst/>
                  </a:prstGeom>
                </pic:spPr>
              </pic:pic>
            </a:graphicData>
          </a:graphic>
        </wp:anchor>
      </w:drawing>
    </w:r>
  </w:p>
  <w:p w14:paraId="2F1315B1" w14:textId="77777777" w:rsidR="00636A97" w:rsidRDefault="00636A97" w:rsidP="00636A97">
    <w:pPr>
      <w:pStyle w:val="Header"/>
      <w:tabs>
        <w:tab w:val="clear" w:pos="4680"/>
        <w:tab w:val="clear" w:pos="9360"/>
        <w:tab w:val="left" w:pos="8325"/>
      </w:tabs>
    </w:pPr>
  </w:p>
  <w:p w14:paraId="0A33ED23" w14:textId="77777777" w:rsidR="00636A97" w:rsidRDefault="00636A97" w:rsidP="00636A97">
    <w:pPr>
      <w:pStyle w:val="Header"/>
      <w:tabs>
        <w:tab w:val="clear" w:pos="4680"/>
        <w:tab w:val="clear" w:pos="9360"/>
        <w:tab w:val="left" w:pos="8325"/>
      </w:tabs>
    </w:pPr>
  </w:p>
  <w:p w14:paraId="051D1649" w14:textId="77777777" w:rsidR="00636A97" w:rsidRDefault="00636A97" w:rsidP="00636A97">
    <w:pPr>
      <w:pStyle w:val="Header"/>
      <w:tabs>
        <w:tab w:val="clear" w:pos="4680"/>
        <w:tab w:val="clear" w:pos="9360"/>
        <w:tab w:val="left" w:pos="83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041B2"/>
    <w:multiLevelType w:val="hybridMultilevel"/>
    <w:tmpl w:val="F830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118D2"/>
    <w:multiLevelType w:val="hybridMultilevel"/>
    <w:tmpl w:val="CD748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E8119B7"/>
    <w:multiLevelType w:val="hybridMultilevel"/>
    <w:tmpl w:val="8A7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5C"/>
    <w:rsid w:val="000203AB"/>
    <w:rsid w:val="000359E1"/>
    <w:rsid w:val="00042AF7"/>
    <w:rsid w:val="0005108C"/>
    <w:rsid w:val="000717E4"/>
    <w:rsid w:val="00086977"/>
    <w:rsid w:val="00095724"/>
    <w:rsid w:val="000C1DC0"/>
    <w:rsid w:val="000C34A6"/>
    <w:rsid w:val="000C6521"/>
    <w:rsid w:val="000E120B"/>
    <w:rsid w:val="00100B21"/>
    <w:rsid w:val="001028C7"/>
    <w:rsid w:val="0011334B"/>
    <w:rsid w:val="00195A0D"/>
    <w:rsid w:val="0019719D"/>
    <w:rsid w:val="001B2D48"/>
    <w:rsid w:val="001E1A47"/>
    <w:rsid w:val="001F2DC3"/>
    <w:rsid w:val="001F37F0"/>
    <w:rsid w:val="001F78F2"/>
    <w:rsid w:val="0020191A"/>
    <w:rsid w:val="00205587"/>
    <w:rsid w:val="00207C5D"/>
    <w:rsid w:val="00222937"/>
    <w:rsid w:val="00225CEB"/>
    <w:rsid w:val="00237EC1"/>
    <w:rsid w:val="00245DB1"/>
    <w:rsid w:val="002465BA"/>
    <w:rsid w:val="00257BCE"/>
    <w:rsid w:val="002620F8"/>
    <w:rsid w:val="00267E7A"/>
    <w:rsid w:val="002857A6"/>
    <w:rsid w:val="002C76DC"/>
    <w:rsid w:val="002D25FA"/>
    <w:rsid w:val="003056A1"/>
    <w:rsid w:val="0031635C"/>
    <w:rsid w:val="0038587A"/>
    <w:rsid w:val="003A50F0"/>
    <w:rsid w:val="003C23B6"/>
    <w:rsid w:val="003C6E3F"/>
    <w:rsid w:val="003D124A"/>
    <w:rsid w:val="003D42FE"/>
    <w:rsid w:val="003F4BFE"/>
    <w:rsid w:val="003F7CA0"/>
    <w:rsid w:val="004249E8"/>
    <w:rsid w:val="00431F95"/>
    <w:rsid w:val="00461C89"/>
    <w:rsid w:val="00490EEE"/>
    <w:rsid w:val="004B2CE7"/>
    <w:rsid w:val="004E02FE"/>
    <w:rsid w:val="004F444E"/>
    <w:rsid w:val="004F467A"/>
    <w:rsid w:val="00503A54"/>
    <w:rsid w:val="00521165"/>
    <w:rsid w:val="00546335"/>
    <w:rsid w:val="00575358"/>
    <w:rsid w:val="005C5F11"/>
    <w:rsid w:val="005C6BF2"/>
    <w:rsid w:val="005D4ACF"/>
    <w:rsid w:val="005E7642"/>
    <w:rsid w:val="00601397"/>
    <w:rsid w:val="00602D39"/>
    <w:rsid w:val="00602EAE"/>
    <w:rsid w:val="0062204C"/>
    <w:rsid w:val="00624263"/>
    <w:rsid w:val="00624D6C"/>
    <w:rsid w:val="006352F7"/>
    <w:rsid w:val="00636A97"/>
    <w:rsid w:val="006445F8"/>
    <w:rsid w:val="00644AAB"/>
    <w:rsid w:val="00692871"/>
    <w:rsid w:val="006946CE"/>
    <w:rsid w:val="006A29F1"/>
    <w:rsid w:val="006B3C46"/>
    <w:rsid w:val="006C2F14"/>
    <w:rsid w:val="006E1AAD"/>
    <w:rsid w:val="006E413C"/>
    <w:rsid w:val="006E56B1"/>
    <w:rsid w:val="0071631A"/>
    <w:rsid w:val="00733840"/>
    <w:rsid w:val="00746C04"/>
    <w:rsid w:val="007A00BC"/>
    <w:rsid w:val="007C4E05"/>
    <w:rsid w:val="007C667C"/>
    <w:rsid w:val="007F711D"/>
    <w:rsid w:val="008111B5"/>
    <w:rsid w:val="00811844"/>
    <w:rsid w:val="008172EA"/>
    <w:rsid w:val="0082409A"/>
    <w:rsid w:val="008247F1"/>
    <w:rsid w:val="00836E72"/>
    <w:rsid w:val="00842C25"/>
    <w:rsid w:val="00845075"/>
    <w:rsid w:val="0085348A"/>
    <w:rsid w:val="00887989"/>
    <w:rsid w:val="00892248"/>
    <w:rsid w:val="008A13B1"/>
    <w:rsid w:val="008F5A81"/>
    <w:rsid w:val="00936FE9"/>
    <w:rsid w:val="0094047A"/>
    <w:rsid w:val="00953ED0"/>
    <w:rsid w:val="00964600"/>
    <w:rsid w:val="00965D4D"/>
    <w:rsid w:val="009C1CFA"/>
    <w:rsid w:val="009C389F"/>
    <w:rsid w:val="009D37AE"/>
    <w:rsid w:val="009E1F72"/>
    <w:rsid w:val="00A04B53"/>
    <w:rsid w:val="00A355B5"/>
    <w:rsid w:val="00A44B2C"/>
    <w:rsid w:val="00A71E87"/>
    <w:rsid w:val="00A85B8B"/>
    <w:rsid w:val="00AA3534"/>
    <w:rsid w:val="00AB771F"/>
    <w:rsid w:val="00AB7F71"/>
    <w:rsid w:val="00AC059E"/>
    <w:rsid w:val="00AC0991"/>
    <w:rsid w:val="00AE0827"/>
    <w:rsid w:val="00AE7176"/>
    <w:rsid w:val="00B006CA"/>
    <w:rsid w:val="00B00A30"/>
    <w:rsid w:val="00B30595"/>
    <w:rsid w:val="00B411D1"/>
    <w:rsid w:val="00B44ECB"/>
    <w:rsid w:val="00B54F1D"/>
    <w:rsid w:val="00B65ACA"/>
    <w:rsid w:val="00B81E68"/>
    <w:rsid w:val="00B9529B"/>
    <w:rsid w:val="00BC36EF"/>
    <w:rsid w:val="00BD1462"/>
    <w:rsid w:val="00BF79C1"/>
    <w:rsid w:val="00C003AB"/>
    <w:rsid w:val="00C2439D"/>
    <w:rsid w:val="00C31494"/>
    <w:rsid w:val="00C41316"/>
    <w:rsid w:val="00CA2A5B"/>
    <w:rsid w:val="00CB5501"/>
    <w:rsid w:val="00CB6061"/>
    <w:rsid w:val="00CB721B"/>
    <w:rsid w:val="00CC763C"/>
    <w:rsid w:val="00CF176C"/>
    <w:rsid w:val="00D11BE9"/>
    <w:rsid w:val="00D147D4"/>
    <w:rsid w:val="00D25C4D"/>
    <w:rsid w:val="00D4283D"/>
    <w:rsid w:val="00D4286C"/>
    <w:rsid w:val="00D45BC8"/>
    <w:rsid w:val="00D6387A"/>
    <w:rsid w:val="00D6653C"/>
    <w:rsid w:val="00D76994"/>
    <w:rsid w:val="00D76E03"/>
    <w:rsid w:val="00D91808"/>
    <w:rsid w:val="00D936FD"/>
    <w:rsid w:val="00DA012E"/>
    <w:rsid w:val="00DA049E"/>
    <w:rsid w:val="00DA11B1"/>
    <w:rsid w:val="00DA707E"/>
    <w:rsid w:val="00DA70D0"/>
    <w:rsid w:val="00DC0A9A"/>
    <w:rsid w:val="00DE516B"/>
    <w:rsid w:val="00DF0F98"/>
    <w:rsid w:val="00DF7E1F"/>
    <w:rsid w:val="00E17080"/>
    <w:rsid w:val="00E27A0A"/>
    <w:rsid w:val="00E33357"/>
    <w:rsid w:val="00E4401F"/>
    <w:rsid w:val="00E45EA1"/>
    <w:rsid w:val="00E46C83"/>
    <w:rsid w:val="00E61DE9"/>
    <w:rsid w:val="00E6765A"/>
    <w:rsid w:val="00E71D9A"/>
    <w:rsid w:val="00E75183"/>
    <w:rsid w:val="00E80483"/>
    <w:rsid w:val="00E822EE"/>
    <w:rsid w:val="00E94282"/>
    <w:rsid w:val="00EB3A02"/>
    <w:rsid w:val="00EC1290"/>
    <w:rsid w:val="00ED260D"/>
    <w:rsid w:val="00EF1B50"/>
    <w:rsid w:val="00F00A0A"/>
    <w:rsid w:val="00F1249C"/>
    <w:rsid w:val="00F162EC"/>
    <w:rsid w:val="00F34458"/>
    <w:rsid w:val="00F47CC8"/>
    <w:rsid w:val="00F51E33"/>
    <w:rsid w:val="00F7195E"/>
    <w:rsid w:val="00F82710"/>
    <w:rsid w:val="3D8ADAF8"/>
    <w:rsid w:val="42D65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56C39"/>
  <w15:docId w15:val="{482788DC-A9AD-487F-9B88-C0075886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163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3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63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4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263"/>
    <w:rPr>
      <w:rFonts w:ascii="Tahoma" w:hAnsi="Tahoma" w:cs="Tahoma"/>
      <w:sz w:val="16"/>
      <w:szCs w:val="16"/>
    </w:rPr>
  </w:style>
  <w:style w:type="paragraph" w:styleId="Header">
    <w:name w:val="header"/>
    <w:basedOn w:val="Normal"/>
    <w:link w:val="HeaderChar"/>
    <w:uiPriority w:val="99"/>
    <w:unhideWhenUsed/>
    <w:rsid w:val="00624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263"/>
  </w:style>
  <w:style w:type="paragraph" w:styleId="Footer">
    <w:name w:val="footer"/>
    <w:basedOn w:val="Normal"/>
    <w:link w:val="FooterChar"/>
    <w:uiPriority w:val="99"/>
    <w:unhideWhenUsed/>
    <w:rsid w:val="00624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263"/>
  </w:style>
  <w:style w:type="paragraph" w:styleId="ListParagraph">
    <w:name w:val="List Paragraph"/>
    <w:basedOn w:val="Normal"/>
    <w:uiPriority w:val="34"/>
    <w:qFormat/>
    <w:rsid w:val="003C6E3F"/>
    <w:pPr>
      <w:ind w:left="720"/>
      <w:contextualSpacing/>
    </w:pPr>
  </w:style>
  <w:style w:type="character" w:styleId="Hyperlink">
    <w:name w:val="Hyperlink"/>
    <w:basedOn w:val="DefaultParagraphFont"/>
    <w:uiPriority w:val="99"/>
    <w:unhideWhenUsed/>
    <w:rsid w:val="00B30595"/>
    <w:rPr>
      <w:color w:val="0563C1" w:themeColor="hyperlink"/>
      <w:u w:val="single"/>
    </w:rPr>
  </w:style>
  <w:style w:type="paragraph" w:styleId="NoSpacing">
    <w:name w:val="No Spacing"/>
    <w:uiPriority w:val="1"/>
    <w:qFormat/>
    <w:rsid w:val="006E1AAD"/>
    <w:pPr>
      <w:spacing w:after="0" w:line="240" w:lineRule="auto"/>
    </w:pPr>
  </w:style>
  <w:style w:type="character" w:styleId="UnresolvedMention">
    <w:name w:val="Unresolved Mention"/>
    <w:basedOn w:val="DefaultParagraphFont"/>
    <w:uiPriority w:val="99"/>
    <w:semiHidden/>
    <w:unhideWhenUsed/>
    <w:rsid w:val="0096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54697">
      <w:bodyDiv w:val="1"/>
      <w:marLeft w:val="0"/>
      <w:marRight w:val="0"/>
      <w:marTop w:val="0"/>
      <w:marBottom w:val="0"/>
      <w:divBdr>
        <w:top w:val="none" w:sz="0" w:space="0" w:color="auto"/>
        <w:left w:val="none" w:sz="0" w:space="0" w:color="auto"/>
        <w:bottom w:val="none" w:sz="0" w:space="0" w:color="auto"/>
        <w:right w:val="none" w:sz="0" w:space="0" w:color="auto"/>
      </w:divBdr>
    </w:div>
    <w:div w:id="633293611">
      <w:bodyDiv w:val="1"/>
      <w:marLeft w:val="0"/>
      <w:marRight w:val="0"/>
      <w:marTop w:val="0"/>
      <w:marBottom w:val="0"/>
      <w:divBdr>
        <w:top w:val="none" w:sz="0" w:space="0" w:color="auto"/>
        <w:left w:val="none" w:sz="0" w:space="0" w:color="auto"/>
        <w:bottom w:val="none" w:sz="0" w:space="0" w:color="auto"/>
        <w:right w:val="none" w:sz="0" w:space="0" w:color="auto"/>
      </w:divBdr>
    </w:div>
    <w:div w:id="636495410">
      <w:bodyDiv w:val="1"/>
      <w:marLeft w:val="0"/>
      <w:marRight w:val="0"/>
      <w:marTop w:val="0"/>
      <w:marBottom w:val="0"/>
      <w:divBdr>
        <w:top w:val="none" w:sz="0" w:space="0" w:color="auto"/>
        <w:left w:val="none" w:sz="0" w:space="0" w:color="auto"/>
        <w:bottom w:val="none" w:sz="0" w:space="0" w:color="auto"/>
        <w:right w:val="none" w:sz="0" w:space="0" w:color="auto"/>
      </w:divBdr>
    </w:div>
    <w:div w:id="1133212082">
      <w:bodyDiv w:val="1"/>
      <w:marLeft w:val="0"/>
      <w:marRight w:val="0"/>
      <w:marTop w:val="0"/>
      <w:marBottom w:val="0"/>
      <w:divBdr>
        <w:top w:val="none" w:sz="0" w:space="0" w:color="auto"/>
        <w:left w:val="none" w:sz="0" w:space="0" w:color="auto"/>
        <w:bottom w:val="none" w:sz="0" w:space="0" w:color="auto"/>
        <w:right w:val="none" w:sz="0" w:space="0" w:color="auto"/>
      </w:divBdr>
    </w:div>
    <w:div w:id="1143811913">
      <w:bodyDiv w:val="1"/>
      <w:marLeft w:val="0"/>
      <w:marRight w:val="0"/>
      <w:marTop w:val="0"/>
      <w:marBottom w:val="0"/>
      <w:divBdr>
        <w:top w:val="none" w:sz="0" w:space="0" w:color="auto"/>
        <w:left w:val="none" w:sz="0" w:space="0" w:color="auto"/>
        <w:bottom w:val="none" w:sz="0" w:space="0" w:color="auto"/>
        <w:right w:val="none" w:sz="0" w:space="0" w:color="auto"/>
      </w:divBdr>
    </w:div>
    <w:div w:id="14011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lphabetaco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phabetacore.com" TargetMode="External"/><Relationship Id="rId1" Type="http://schemas.openxmlformats.org/officeDocument/2006/relationships/hyperlink" Target="mailto:info@alphabetaco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89D67EFFD3143A9FD3433FA044726" ma:contentTypeVersion="16" ma:contentTypeDescription="Create a new document." ma:contentTypeScope="" ma:versionID="7732f0f20d1bf319a62da4c2a7260c46">
  <xsd:schema xmlns:xsd="http://www.w3.org/2001/XMLSchema" xmlns:xs="http://www.w3.org/2001/XMLSchema" xmlns:p="http://schemas.microsoft.com/office/2006/metadata/properties" xmlns:ns2="9f533c7d-8ea5-46ec-94df-2c4b08300d0d" xmlns:ns3="436ee46e-c420-4ce6-a79f-4eb4d3c8043e" targetNamespace="http://schemas.microsoft.com/office/2006/metadata/properties" ma:root="true" ma:fieldsID="d16da37408fa5873e1edcb98af2af5fd" ns2:_="" ns3:_="">
    <xsd:import namespace="9f533c7d-8ea5-46ec-94df-2c4b08300d0d"/>
    <xsd:import namespace="436ee46e-c420-4ce6-a79f-4eb4d3c804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33c7d-8ea5-46ec-94df-2c4b08300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729c5a-fa04-4e52-802a-afe0e5827de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ee46e-c420-4ce6-a79f-4eb4d3c804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bcf06d6-1e33-42a0-a8df-1ad69d046d27}" ma:internalName="TaxCatchAll" ma:showField="CatchAllData" ma:web="436ee46e-c420-4ce6-a79f-4eb4d3c80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533c7d-8ea5-46ec-94df-2c4b08300d0d">
      <Terms xmlns="http://schemas.microsoft.com/office/infopath/2007/PartnerControls"/>
    </lcf76f155ced4ddcb4097134ff3c332f>
    <TaxCatchAll xmlns="436ee46e-c420-4ce6-a79f-4eb4d3c8043e" xsi:nil="true"/>
  </documentManagement>
</p:properties>
</file>

<file path=customXml/itemProps1.xml><?xml version="1.0" encoding="utf-8"?>
<ds:datastoreItem xmlns:ds="http://schemas.openxmlformats.org/officeDocument/2006/customXml" ds:itemID="{F7478B94-F2D2-41E2-AE59-613749E2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33c7d-8ea5-46ec-94df-2c4b08300d0d"/>
    <ds:schemaRef ds:uri="436ee46e-c420-4ce6-a79f-4eb4d3c80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FBD47-4492-4874-A845-2A208569126E}">
  <ds:schemaRefs>
    <ds:schemaRef ds:uri="http://schemas.microsoft.com/sharepoint/v3/contenttype/forms"/>
  </ds:schemaRefs>
</ds:datastoreItem>
</file>

<file path=customXml/itemProps3.xml><?xml version="1.0" encoding="utf-8"?>
<ds:datastoreItem xmlns:ds="http://schemas.openxmlformats.org/officeDocument/2006/customXml" ds:itemID="{40C93CF1-90DE-4C42-AEA4-21500EB016BE}">
  <ds:schemaRefs>
    <ds:schemaRef ds:uri="http://schemas.microsoft.com/office/2006/metadata/properties"/>
    <ds:schemaRef ds:uri="http://schemas.microsoft.com/office/infopath/2007/PartnerControls"/>
    <ds:schemaRef ds:uri="9f533c7d-8ea5-46ec-94df-2c4b08300d0d"/>
    <ds:schemaRef ds:uri="436ee46e-c420-4ce6-a79f-4eb4d3c804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Links>
    <vt:vector size="12" baseType="variant">
      <vt:variant>
        <vt:i4>524325</vt:i4>
      </vt:variant>
      <vt:variant>
        <vt:i4>0</vt:i4>
      </vt:variant>
      <vt:variant>
        <vt:i4>0</vt:i4>
      </vt:variant>
      <vt:variant>
        <vt:i4>5</vt:i4>
      </vt:variant>
      <vt:variant>
        <vt:lpwstr>mailto:hr@alphabetacore.com</vt:lpwstr>
      </vt:variant>
      <vt:variant>
        <vt:lpwstr/>
      </vt:variant>
      <vt:variant>
        <vt:i4>7274582</vt:i4>
      </vt:variant>
      <vt:variant>
        <vt:i4>0</vt:i4>
      </vt:variant>
      <vt:variant>
        <vt:i4>0</vt:i4>
      </vt:variant>
      <vt:variant>
        <vt:i4>5</vt:i4>
      </vt:variant>
      <vt:variant>
        <vt:lpwstr>mailto:info@alphabetacore.com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Sarwat Ahson</cp:lastModifiedBy>
  <cp:revision>2</cp:revision>
  <cp:lastPrinted>2023-02-18T04:54:00Z</cp:lastPrinted>
  <dcterms:created xsi:type="dcterms:W3CDTF">2024-10-02T10:32:00Z</dcterms:created>
  <dcterms:modified xsi:type="dcterms:W3CDTF">2024-10-02T10:32:00Z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0x010100D0E89D67EFFD3143A9FD3433FA044726</vt:lpwstr>
  </property>
  <property fmtid="{D5CDD505-2E9C-101B-9397-08002B2CF9AE}" pid="3" name="MediaServiceImageTags">
    <vt:lpwstr/>
  </property>
</Properties>
</file>