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C3D" w:rsidRPr="003F1C3D" w:rsidRDefault="003F1C3D" w:rsidP="003F1C3D">
      <w:pPr>
        <w:shd w:val="clear" w:color="auto" w:fill="FFFFFF"/>
        <w:spacing w:after="263" w:line="240" w:lineRule="auto"/>
        <w:outlineLvl w:val="1"/>
        <w:rPr>
          <w:rFonts w:ascii="Lato" w:eastAsia="Times New Roman" w:hAnsi="Lato" w:cs="Times New Roman"/>
          <w:color w:val="515357"/>
          <w:sz w:val="54"/>
          <w:szCs w:val="54"/>
        </w:rPr>
      </w:pPr>
      <w:bookmarkStart w:id="0" w:name="_GoBack"/>
      <w:r w:rsidRPr="003F1C3D">
        <w:rPr>
          <w:rFonts w:ascii="Lato" w:eastAsia="Times New Roman" w:hAnsi="Lato" w:cs="Times New Roman"/>
          <w:color w:val="515357"/>
          <w:sz w:val="54"/>
          <w:szCs w:val="54"/>
        </w:rPr>
        <w:t>VP – Capital Investments &amp; Financing</w:t>
      </w:r>
      <w:bookmarkEnd w:id="0"/>
    </w:p>
    <w:p w:rsidR="003F1C3D" w:rsidRPr="003F1C3D" w:rsidRDefault="003F1C3D" w:rsidP="003F1C3D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808080"/>
          <w:spacing w:val="15"/>
          <w:sz w:val="21"/>
          <w:szCs w:val="21"/>
        </w:rPr>
      </w:pPr>
      <w:r w:rsidRPr="003F1C3D">
        <w:rPr>
          <w:rFonts w:ascii="Lato" w:eastAsia="Times New Roman" w:hAnsi="Lato" w:cs="Times New Roman"/>
          <w:b/>
          <w:bCs/>
          <w:color w:val="808080"/>
          <w:spacing w:val="15"/>
          <w:sz w:val="21"/>
          <w:szCs w:val="21"/>
        </w:rPr>
        <w:t>Abu Dhabi</w:t>
      </w:r>
    </w:p>
    <w:p w:rsidR="003F1C3D" w:rsidRPr="003F1C3D" w:rsidRDefault="003F1C3D" w:rsidP="003F1C3D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808080"/>
          <w:spacing w:val="15"/>
          <w:sz w:val="21"/>
          <w:szCs w:val="21"/>
        </w:rPr>
      </w:pPr>
      <w:proofErr w:type="spellStart"/>
      <w:r w:rsidRPr="003F1C3D">
        <w:rPr>
          <w:rFonts w:ascii="Lato" w:eastAsia="Times New Roman" w:hAnsi="Lato" w:cs="Times New Roman"/>
          <w:b/>
          <w:bCs/>
          <w:color w:val="808080"/>
          <w:spacing w:val="15"/>
          <w:sz w:val="21"/>
          <w:szCs w:val="21"/>
        </w:rPr>
        <w:t>Aldar</w:t>
      </w:r>
      <w:proofErr w:type="spellEnd"/>
      <w:r w:rsidRPr="003F1C3D">
        <w:rPr>
          <w:rFonts w:ascii="Lato" w:eastAsia="Times New Roman" w:hAnsi="Lato" w:cs="Times New Roman"/>
          <w:b/>
          <w:bCs/>
          <w:color w:val="808080"/>
          <w:spacing w:val="15"/>
          <w:sz w:val="21"/>
          <w:szCs w:val="21"/>
        </w:rPr>
        <w:t xml:space="preserve"> Corporate – Corporate Finance </w:t>
      </w:r>
      <w:proofErr w:type="gramStart"/>
      <w:r w:rsidRPr="003F1C3D">
        <w:rPr>
          <w:rFonts w:ascii="Lato" w:eastAsia="Times New Roman" w:hAnsi="Lato" w:cs="Times New Roman"/>
          <w:b/>
          <w:bCs/>
          <w:color w:val="808080"/>
          <w:spacing w:val="15"/>
          <w:sz w:val="21"/>
          <w:szCs w:val="21"/>
        </w:rPr>
        <w:t>And</w:t>
      </w:r>
      <w:proofErr w:type="gramEnd"/>
      <w:r w:rsidRPr="003F1C3D">
        <w:rPr>
          <w:rFonts w:ascii="Lato" w:eastAsia="Times New Roman" w:hAnsi="Lato" w:cs="Times New Roman"/>
          <w:b/>
          <w:bCs/>
          <w:color w:val="808080"/>
          <w:spacing w:val="15"/>
          <w:sz w:val="21"/>
          <w:szCs w:val="21"/>
        </w:rPr>
        <w:t xml:space="preserve"> Treasury /</w:t>
      </w:r>
    </w:p>
    <w:p w:rsidR="003F1C3D" w:rsidRPr="003F1C3D" w:rsidRDefault="003F1C3D" w:rsidP="003F1C3D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808080"/>
          <w:spacing w:val="15"/>
          <w:sz w:val="21"/>
          <w:szCs w:val="21"/>
        </w:rPr>
      </w:pPr>
      <w:r w:rsidRPr="003F1C3D">
        <w:rPr>
          <w:rFonts w:ascii="Lato" w:eastAsia="Times New Roman" w:hAnsi="Lato" w:cs="Times New Roman"/>
          <w:b/>
          <w:bCs/>
          <w:color w:val="808080"/>
          <w:spacing w:val="15"/>
          <w:sz w:val="21"/>
          <w:szCs w:val="21"/>
        </w:rPr>
        <w:t>Experienced Hires /</w:t>
      </w:r>
    </w:p>
    <w:p w:rsidR="003F1C3D" w:rsidRPr="003F1C3D" w:rsidRDefault="003F1C3D" w:rsidP="003F1C3D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808080"/>
          <w:spacing w:val="15"/>
          <w:sz w:val="21"/>
          <w:szCs w:val="21"/>
        </w:rPr>
      </w:pPr>
      <w:r w:rsidRPr="003F1C3D">
        <w:rPr>
          <w:rFonts w:ascii="Lato" w:eastAsia="Times New Roman" w:hAnsi="Lato" w:cs="Times New Roman"/>
          <w:b/>
          <w:bCs/>
          <w:color w:val="808080"/>
          <w:spacing w:val="15"/>
          <w:sz w:val="21"/>
          <w:szCs w:val="21"/>
        </w:rPr>
        <w:t>On-Site</w:t>
      </w:r>
    </w:p>
    <w:p w:rsidR="003F1C3D" w:rsidRPr="003F1C3D" w:rsidRDefault="003F1C3D" w:rsidP="003F1C3D">
      <w:pPr>
        <w:shd w:val="clear" w:color="auto" w:fill="FFFFFF"/>
        <w:spacing w:after="0" w:line="240" w:lineRule="auto"/>
        <w:textAlignment w:val="top"/>
        <w:rPr>
          <w:rFonts w:ascii="Lato" w:eastAsia="Times New Roman" w:hAnsi="Lato" w:cs="Times New Roman"/>
          <w:color w:val="515357"/>
          <w:sz w:val="24"/>
          <w:szCs w:val="24"/>
        </w:rPr>
      </w:pPr>
      <w:hyperlink r:id="rId4" w:history="1">
        <w:r w:rsidRPr="003F1C3D">
          <w:rPr>
            <w:rFonts w:ascii="Lato" w:eastAsia="Times New Roman" w:hAnsi="Lato" w:cs="Times New Roman"/>
            <w:caps/>
            <w:color w:val="FFFFFF"/>
            <w:spacing w:val="30"/>
            <w:sz w:val="21"/>
            <w:szCs w:val="21"/>
            <w:bdr w:val="single" w:sz="6" w:space="8" w:color="000000" w:frame="1"/>
            <w:shd w:val="clear" w:color="auto" w:fill="000000"/>
          </w:rPr>
          <w:t>APPLY FOR THIS JOB</w:t>
        </w:r>
      </w:hyperlink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b/>
          <w:bCs/>
          <w:color w:val="515357"/>
          <w:sz w:val="24"/>
          <w:szCs w:val="24"/>
          <w:u w:val="single"/>
        </w:rPr>
        <w:t>JOB PURPOSE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Manage critical functions relating to investment analysis, capital allocation and execute strategic company initiatives while supporting the team with financial planning &amp; analysis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Promote adoption of structured approach on all investment evaluations, generating fully transparent information to management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b/>
          <w:bCs/>
          <w:color w:val="515357"/>
          <w:sz w:val="24"/>
          <w:szCs w:val="24"/>
          <w:u w:val="single"/>
        </w:rPr>
        <w:t>ROLES AND RESPONSIBILITIES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b/>
          <w:bCs/>
          <w:color w:val="515357"/>
          <w:sz w:val="24"/>
          <w:szCs w:val="24"/>
          <w:u w:val="single"/>
        </w:rPr>
        <w:t>QUALIFICATION AND EXPERIENCE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  <w:u w:val="single"/>
        </w:rPr>
        <w:t>Investment Analysis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 xml:space="preserve">Perform rigorous financial analysis, sensitivity analysis, and </w:t>
      </w:r>
      <w:proofErr w:type="spellStart"/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reviewal</w:t>
      </w:r>
      <w:proofErr w:type="spellEnd"/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 xml:space="preserve"> of investment proposals by businesses lines (AM/DM)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Support the adoption of a structured approach to all investment evaluations, generating fully transparent information for management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Perform the identification of key risk drivers of financial underwriting from feasibility models and commercial considerations of proposed transactions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Ensure investment submissions comply with Investment Framework policies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  <w:u w:val="single"/>
        </w:rPr>
        <w:t>Capital Allocation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Execute periodic reviews of group return hurdles and cost of capital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Contribute to data-driven recommendations regarding the company’s strategic objectives, particularly on capital allocation decisions and strategic planning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Perform ad-hoc credit analysis and support in dealing with credit rating agency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Establish and periodically review group return hurdles and cost of capital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Make data-driven recommendations regarding the company’s strategic objectives, particularly on capital allocation decisions and strategic planning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Perform ad-hoc credit analysis and support in dealing with credit rating agency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  <w:u w:val="single"/>
        </w:rPr>
        <w:t>Strategic Company Initiatives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Provide support in the origination of strategic initiatives (M&amp;A, 3rd party capital raise – equity &amp; debt)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Manage the preparation of pre-IC appraisals and align them with relevant stakeholders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Contribute to the development of Investment Appraisals as part of the whole IC decision process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Execute live transactions, manage the transaction process, and liaise with counterparties, advisors, etc.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lastRenderedPageBreak/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Consolidate the input from various departments for the 5-years financial planning and assess the quality of the planning and its parts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Contribute to strategic company initiatives while supporting the team with financial planning &amp; analysis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Manage the provision of financial outputs of consolidated business plan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Assist with maintaining and improving a detailed corporate financial model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Assist with providing financial outputs of consolidated business plan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b/>
          <w:bCs/>
          <w:color w:val="515357"/>
          <w:sz w:val="24"/>
          <w:szCs w:val="24"/>
        </w:rPr>
        <w:t> 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b/>
          <w:bCs/>
          <w:color w:val="515357"/>
          <w:sz w:val="24"/>
          <w:szCs w:val="24"/>
        </w:rPr>
        <w:t>RELATED YEAR OF EXPERIENCE: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Min of 10+ years of experience in a diverse financial environment, leading strategic finance / capital management/investment of a publicly listed company with annual revenue of at least AED 3 billion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b/>
          <w:bCs/>
          <w:color w:val="515357"/>
          <w:sz w:val="24"/>
          <w:szCs w:val="24"/>
        </w:rPr>
        <w:t>TECHNICAL AND INTERPERSONAL SKILLS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Technically proficient in Bloomberg, excel financial modeling (including DCF/DDM modeling, real estate modelling, analysis of public trading comparable and precedent transactions, merger modelling, etc.) and accounting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Strong presentation and communication skills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Strong project management skills, self-starter with initiative to lead execution work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Strong work ethic with good team and interpersonal skills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Strong conflict resolution and management skills for resolving conflicts on the field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Ability to plan, execute and manage tasks as per project schedule and budget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b/>
          <w:bCs/>
          <w:color w:val="515357"/>
          <w:sz w:val="24"/>
          <w:szCs w:val="24"/>
        </w:rPr>
        <w:t>QUALIFICATION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Bachelor’s degree in finance, economics or business, MBA/Master in Finance from a top-ranked school.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Professional qualification e.g., CFA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b/>
          <w:bCs/>
          <w:color w:val="515357"/>
          <w:sz w:val="24"/>
          <w:szCs w:val="24"/>
        </w:rPr>
        <w:t>KEY RESULT AREAS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Quality, Frequency and effectiveness of reports to Management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Achievement of target shareholder composition (investment style, concentration, diversification)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·</w:t>
      </w:r>
      <w:r w:rsidRPr="003F1C3D">
        <w:rPr>
          <w:rFonts w:ascii="Lato" w:eastAsia="Times New Roman" w:hAnsi="Lato" w:cs="Times New Roman"/>
          <w:color w:val="515357"/>
          <w:sz w:val="14"/>
          <w:szCs w:val="14"/>
        </w:rPr>
        <w:t>       </w:t>
      </w: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Effective input into business planning and investment analysis</w:t>
      </w:r>
    </w:p>
    <w:p w:rsidR="003F1C3D" w:rsidRPr="003F1C3D" w:rsidRDefault="003F1C3D" w:rsidP="003F1C3D">
      <w:pPr>
        <w:shd w:val="clear" w:color="auto" w:fill="F9F9F9"/>
        <w:spacing w:after="0" w:line="240" w:lineRule="auto"/>
        <w:rPr>
          <w:rFonts w:ascii="Lato" w:eastAsia="Times New Roman" w:hAnsi="Lato" w:cs="Times New Roman"/>
          <w:color w:val="515357"/>
          <w:sz w:val="24"/>
          <w:szCs w:val="24"/>
        </w:rPr>
      </w:pPr>
      <w:r w:rsidRPr="003F1C3D">
        <w:rPr>
          <w:rFonts w:ascii="Lato" w:eastAsia="Times New Roman" w:hAnsi="Lato" w:cs="Times New Roman"/>
          <w:color w:val="515357"/>
          <w:sz w:val="24"/>
          <w:szCs w:val="24"/>
        </w:rPr>
        <w:t> </w:t>
      </w:r>
    </w:p>
    <w:p w:rsidR="00C73ABA" w:rsidRDefault="003F1C3D">
      <w:r>
        <w:t xml:space="preserve"> </w:t>
      </w:r>
      <w:hyperlink r:id="rId5" w:history="1">
        <w:r w:rsidRPr="003F1C3D">
          <w:rPr>
            <w:rStyle w:val="Hyperlink"/>
          </w:rPr>
          <w:t>APPLY</w:t>
        </w:r>
      </w:hyperlink>
    </w:p>
    <w:sectPr w:rsidR="00C73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C3"/>
    <w:rsid w:val="003F1C3D"/>
    <w:rsid w:val="007F48C3"/>
    <w:rsid w:val="00C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64EFA-192F-4A03-AD91-5BDF4794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1C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1C3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F1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120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4210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3408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4588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0878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2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0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bs.lever.co/aldar/917bd7cb-e7eb-43a5-b803-88aa4b7d4f3e" TargetMode="External"/><Relationship Id="rId4" Type="http://schemas.openxmlformats.org/officeDocument/2006/relationships/hyperlink" Target="https://jobs.lever.co/aldar/917bd7cb-e7eb-43a5-b803-88aa4b7d4f3e/a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2024-05-16T11:06:00Z</dcterms:created>
  <dcterms:modified xsi:type="dcterms:W3CDTF">2024-05-16T11:08:00Z</dcterms:modified>
</cp:coreProperties>
</file>