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920" w:type="dxa"/>
        <w:tblBorders>
          <w:top w:val="single" w:sz="12"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3272"/>
        <w:gridCol w:w="10648"/>
      </w:tblGrid>
      <w:tr w:rsidR="000B6952" w:rsidRPr="000B6952" w:rsidTr="000B6952">
        <w:tc>
          <w:tcPr>
            <w:tcW w:w="0" w:type="auto"/>
            <w:tcBorders>
              <w:top w:val="nil"/>
              <w:left w:val="nil"/>
              <w:bottom w:val="single" w:sz="6" w:space="0" w:color="auto"/>
              <w:right w:val="nil"/>
            </w:tcBorders>
            <w:shd w:val="clear" w:color="auto" w:fill="FFFFFF"/>
            <w:hideMark/>
          </w:tcPr>
          <w:p w:rsidR="000B6952" w:rsidRPr="000B6952" w:rsidRDefault="000B6952" w:rsidP="000B6952">
            <w:pPr>
              <w:spacing w:after="0" w:line="240" w:lineRule="auto"/>
              <w:rPr>
                <w:rFonts w:ascii="Times New Roman" w:eastAsia="Times New Roman" w:hAnsi="Times New Roman" w:cs="Times New Roman"/>
                <w:b/>
                <w:bCs/>
                <w:sz w:val="24"/>
                <w:szCs w:val="24"/>
              </w:rPr>
            </w:pPr>
            <w:r w:rsidRPr="000B6952">
              <w:rPr>
                <w:rFonts w:ascii="Times New Roman" w:eastAsia="Times New Roman" w:hAnsi="Times New Roman" w:cs="Times New Roman"/>
                <w:b/>
                <w:bCs/>
                <w:sz w:val="24"/>
                <w:szCs w:val="24"/>
              </w:rPr>
              <w:t>Reference Number</w:t>
            </w:r>
          </w:p>
        </w:tc>
        <w:tc>
          <w:tcPr>
            <w:tcW w:w="0" w:type="auto"/>
            <w:tcBorders>
              <w:top w:val="nil"/>
              <w:left w:val="nil"/>
              <w:bottom w:val="single" w:sz="6" w:space="0" w:color="auto"/>
              <w:right w:val="nil"/>
            </w:tcBorders>
            <w:shd w:val="clear" w:color="auto" w:fill="EBEBEB"/>
            <w:hideMark/>
          </w:tcPr>
          <w:p w:rsidR="000B6952" w:rsidRPr="000B6952" w:rsidRDefault="000B6952" w:rsidP="000B6952">
            <w:pPr>
              <w:spacing w:after="0" w:line="240" w:lineRule="auto"/>
              <w:rPr>
                <w:rFonts w:ascii="Times New Roman" w:eastAsia="Times New Roman" w:hAnsi="Times New Roman" w:cs="Times New Roman"/>
                <w:sz w:val="24"/>
                <w:szCs w:val="24"/>
              </w:rPr>
            </w:pPr>
            <w:r w:rsidRPr="000B6952">
              <w:rPr>
                <w:rFonts w:ascii="Times New Roman" w:eastAsia="Times New Roman" w:hAnsi="Times New Roman" w:cs="Times New Roman"/>
                <w:sz w:val="24"/>
                <w:szCs w:val="24"/>
              </w:rPr>
              <w:t>240335</w:t>
            </w:r>
          </w:p>
        </w:tc>
      </w:tr>
      <w:tr w:rsidR="000B6952" w:rsidRPr="000B6952" w:rsidTr="000B6952">
        <w:tc>
          <w:tcPr>
            <w:tcW w:w="0" w:type="auto"/>
            <w:tcBorders>
              <w:top w:val="nil"/>
              <w:left w:val="nil"/>
              <w:bottom w:val="single" w:sz="6" w:space="0" w:color="auto"/>
              <w:right w:val="nil"/>
            </w:tcBorders>
            <w:shd w:val="clear" w:color="auto" w:fill="FFFFFF"/>
            <w:hideMark/>
          </w:tcPr>
          <w:p w:rsidR="000B6952" w:rsidRPr="000B6952" w:rsidRDefault="000B6952" w:rsidP="000B6952">
            <w:pPr>
              <w:spacing w:after="0" w:line="240" w:lineRule="auto"/>
              <w:rPr>
                <w:rFonts w:ascii="Times New Roman" w:eastAsia="Times New Roman" w:hAnsi="Times New Roman" w:cs="Times New Roman"/>
                <w:b/>
                <w:bCs/>
                <w:sz w:val="24"/>
                <w:szCs w:val="24"/>
              </w:rPr>
            </w:pPr>
            <w:r w:rsidRPr="000B6952">
              <w:rPr>
                <w:rFonts w:ascii="Times New Roman" w:eastAsia="Times New Roman" w:hAnsi="Times New Roman" w:cs="Times New Roman"/>
                <w:b/>
                <w:bCs/>
                <w:sz w:val="24"/>
                <w:szCs w:val="24"/>
              </w:rPr>
              <w:t>Position Level</w:t>
            </w:r>
          </w:p>
        </w:tc>
        <w:tc>
          <w:tcPr>
            <w:tcW w:w="0" w:type="auto"/>
            <w:tcBorders>
              <w:top w:val="nil"/>
              <w:left w:val="nil"/>
              <w:bottom w:val="single" w:sz="6" w:space="0" w:color="auto"/>
              <w:right w:val="nil"/>
            </w:tcBorders>
            <w:shd w:val="clear" w:color="auto" w:fill="EBEBEB"/>
            <w:hideMark/>
          </w:tcPr>
          <w:p w:rsidR="000B6952" w:rsidRPr="000B6952" w:rsidRDefault="000B6952" w:rsidP="000B6952">
            <w:pPr>
              <w:spacing w:after="0" w:line="240" w:lineRule="auto"/>
              <w:rPr>
                <w:rFonts w:ascii="Times New Roman" w:eastAsia="Times New Roman" w:hAnsi="Times New Roman" w:cs="Times New Roman"/>
                <w:sz w:val="24"/>
                <w:szCs w:val="24"/>
              </w:rPr>
            </w:pPr>
            <w:r w:rsidRPr="000B6952">
              <w:rPr>
                <w:rFonts w:ascii="Times New Roman" w:eastAsia="Times New Roman" w:hAnsi="Times New Roman" w:cs="Times New Roman"/>
                <w:sz w:val="24"/>
                <w:szCs w:val="24"/>
              </w:rPr>
              <w:t>IS 7</w:t>
            </w:r>
          </w:p>
        </w:tc>
      </w:tr>
      <w:tr w:rsidR="000B6952" w:rsidRPr="000B6952" w:rsidTr="000B6952">
        <w:tc>
          <w:tcPr>
            <w:tcW w:w="0" w:type="auto"/>
            <w:tcBorders>
              <w:top w:val="nil"/>
              <w:left w:val="nil"/>
              <w:bottom w:val="single" w:sz="6" w:space="0" w:color="auto"/>
              <w:right w:val="nil"/>
            </w:tcBorders>
            <w:shd w:val="clear" w:color="auto" w:fill="FFFFFF"/>
            <w:hideMark/>
          </w:tcPr>
          <w:p w:rsidR="000B6952" w:rsidRPr="000B6952" w:rsidRDefault="000B6952" w:rsidP="000B6952">
            <w:pPr>
              <w:spacing w:after="0" w:line="240" w:lineRule="auto"/>
              <w:rPr>
                <w:rFonts w:ascii="Times New Roman" w:eastAsia="Times New Roman" w:hAnsi="Times New Roman" w:cs="Times New Roman"/>
                <w:b/>
                <w:bCs/>
                <w:sz w:val="24"/>
                <w:szCs w:val="24"/>
              </w:rPr>
            </w:pPr>
            <w:r w:rsidRPr="000B6952">
              <w:rPr>
                <w:rFonts w:ascii="Times New Roman" w:eastAsia="Times New Roman" w:hAnsi="Times New Roman" w:cs="Times New Roman"/>
                <w:b/>
                <w:bCs/>
                <w:sz w:val="24"/>
                <w:szCs w:val="24"/>
              </w:rPr>
              <w:t>Department</w:t>
            </w:r>
          </w:p>
        </w:tc>
        <w:tc>
          <w:tcPr>
            <w:tcW w:w="0" w:type="auto"/>
            <w:tcBorders>
              <w:top w:val="nil"/>
              <w:left w:val="nil"/>
              <w:bottom w:val="single" w:sz="6" w:space="0" w:color="auto"/>
              <w:right w:val="nil"/>
            </w:tcBorders>
            <w:shd w:val="clear" w:color="auto" w:fill="EBEBEB"/>
            <w:hideMark/>
          </w:tcPr>
          <w:p w:rsidR="000B6952" w:rsidRPr="000B6952" w:rsidRDefault="000B6952" w:rsidP="000B6952">
            <w:pPr>
              <w:spacing w:after="0" w:line="240" w:lineRule="auto"/>
              <w:rPr>
                <w:rFonts w:ascii="Times New Roman" w:eastAsia="Times New Roman" w:hAnsi="Times New Roman" w:cs="Times New Roman"/>
                <w:sz w:val="24"/>
                <w:szCs w:val="24"/>
              </w:rPr>
            </w:pPr>
            <w:r w:rsidRPr="000B6952">
              <w:rPr>
                <w:rFonts w:ascii="Times New Roman" w:eastAsia="Times New Roman" w:hAnsi="Times New Roman" w:cs="Times New Roman"/>
                <w:sz w:val="24"/>
                <w:szCs w:val="24"/>
              </w:rPr>
              <w:t>Office of Risk Management</w:t>
            </w:r>
          </w:p>
        </w:tc>
      </w:tr>
      <w:tr w:rsidR="000B6952" w:rsidRPr="000B6952" w:rsidTr="000B6952">
        <w:tc>
          <w:tcPr>
            <w:tcW w:w="0" w:type="auto"/>
            <w:tcBorders>
              <w:top w:val="nil"/>
              <w:left w:val="nil"/>
              <w:bottom w:val="single" w:sz="6" w:space="0" w:color="auto"/>
              <w:right w:val="nil"/>
            </w:tcBorders>
            <w:shd w:val="clear" w:color="auto" w:fill="FFFFFF"/>
            <w:hideMark/>
          </w:tcPr>
          <w:p w:rsidR="000B6952" w:rsidRPr="000B6952" w:rsidRDefault="000B6952" w:rsidP="000B6952">
            <w:pPr>
              <w:spacing w:after="0" w:line="240" w:lineRule="auto"/>
              <w:rPr>
                <w:rFonts w:ascii="Times New Roman" w:eastAsia="Times New Roman" w:hAnsi="Times New Roman" w:cs="Times New Roman"/>
                <w:b/>
                <w:bCs/>
                <w:sz w:val="24"/>
                <w:szCs w:val="24"/>
              </w:rPr>
            </w:pPr>
            <w:r w:rsidRPr="000B6952">
              <w:rPr>
                <w:rFonts w:ascii="Times New Roman" w:eastAsia="Times New Roman" w:hAnsi="Times New Roman" w:cs="Times New Roman"/>
                <w:b/>
                <w:bCs/>
                <w:sz w:val="24"/>
                <w:szCs w:val="24"/>
              </w:rPr>
              <w:t>Division</w:t>
            </w:r>
          </w:p>
        </w:tc>
        <w:tc>
          <w:tcPr>
            <w:tcW w:w="0" w:type="auto"/>
            <w:tcBorders>
              <w:top w:val="nil"/>
              <w:left w:val="nil"/>
              <w:bottom w:val="single" w:sz="6" w:space="0" w:color="auto"/>
              <w:right w:val="nil"/>
            </w:tcBorders>
            <w:shd w:val="clear" w:color="auto" w:fill="EBEBEB"/>
            <w:hideMark/>
          </w:tcPr>
          <w:p w:rsidR="000B6952" w:rsidRPr="000B6952" w:rsidRDefault="000B6952" w:rsidP="000B6952">
            <w:pPr>
              <w:spacing w:after="0" w:line="240" w:lineRule="auto"/>
              <w:rPr>
                <w:rFonts w:ascii="Times New Roman" w:eastAsia="Times New Roman" w:hAnsi="Times New Roman" w:cs="Times New Roman"/>
                <w:sz w:val="24"/>
                <w:szCs w:val="24"/>
              </w:rPr>
            </w:pPr>
            <w:r w:rsidRPr="000B6952">
              <w:rPr>
                <w:rFonts w:ascii="Times New Roman" w:eastAsia="Times New Roman" w:hAnsi="Times New Roman" w:cs="Times New Roman"/>
                <w:sz w:val="24"/>
                <w:szCs w:val="24"/>
              </w:rPr>
              <w:t>Treasury and Liquidity Risk Division</w:t>
            </w:r>
          </w:p>
        </w:tc>
      </w:tr>
      <w:tr w:rsidR="000B6952" w:rsidRPr="000B6952" w:rsidTr="000B6952">
        <w:tc>
          <w:tcPr>
            <w:tcW w:w="0" w:type="auto"/>
            <w:tcBorders>
              <w:top w:val="nil"/>
              <w:left w:val="nil"/>
              <w:bottom w:val="single" w:sz="6" w:space="0" w:color="auto"/>
              <w:right w:val="nil"/>
            </w:tcBorders>
            <w:shd w:val="clear" w:color="auto" w:fill="FFFFFF"/>
            <w:hideMark/>
          </w:tcPr>
          <w:p w:rsidR="000B6952" w:rsidRPr="000B6952" w:rsidRDefault="000B6952" w:rsidP="000B6952">
            <w:pPr>
              <w:spacing w:after="0" w:line="240" w:lineRule="auto"/>
              <w:rPr>
                <w:rFonts w:ascii="Times New Roman" w:eastAsia="Times New Roman" w:hAnsi="Times New Roman" w:cs="Times New Roman"/>
                <w:b/>
                <w:bCs/>
                <w:sz w:val="24"/>
                <w:szCs w:val="24"/>
              </w:rPr>
            </w:pPr>
            <w:r w:rsidRPr="000B6952">
              <w:rPr>
                <w:rFonts w:ascii="Times New Roman" w:eastAsia="Times New Roman" w:hAnsi="Times New Roman" w:cs="Times New Roman"/>
                <w:b/>
                <w:bCs/>
                <w:sz w:val="24"/>
                <w:szCs w:val="24"/>
              </w:rPr>
              <w:t>Location</w:t>
            </w:r>
          </w:p>
        </w:tc>
        <w:tc>
          <w:tcPr>
            <w:tcW w:w="0" w:type="auto"/>
            <w:tcBorders>
              <w:top w:val="nil"/>
              <w:left w:val="nil"/>
              <w:bottom w:val="single" w:sz="6" w:space="0" w:color="auto"/>
              <w:right w:val="nil"/>
            </w:tcBorders>
            <w:shd w:val="clear" w:color="auto" w:fill="EBEBEB"/>
            <w:hideMark/>
          </w:tcPr>
          <w:p w:rsidR="000B6952" w:rsidRPr="000B6952" w:rsidRDefault="000B6952" w:rsidP="000B6952">
            <w:pPr>
              <w:spacing w:after="0" w:line="240" w:lineRule="auto"/>
              <w:rPr>
                <w:rFonts w:ascii="Times New Roman" w:eastAsia="Times New Roman" w:hAnsi="Times New Roman" w:cs="Times New Roman"/>
                <w:sz w:val="24"/>
                <w:szCs w:val="24"/>
              </w:rPr>
            </w:pPr>
            <w:r w:rsidRPr="000B6952">
              <w:rPr>
                <w:rFonts w:ascii="Times New Roman" w:eastAsia="Times New Roman" w:hAnsi="Times New Roman" w:cs="Times New Roman"/>
                <w:sz w:val="24"/>
                <w:szCs w:val="24"/>
              </w:rPr>
              <w:t>Asian Development Bank Headquarters</w:t>
            </w:r>
          </w:p>
        </w:tc>
      </w:tr>
      <w:tr w:rsidR="000B6952" w:rsidRPr="000B6952" w:rsidTr="000B6952">
        <w:tc>
          <w:tcPr>
            <w:tcW w:w="0" w:type="auto"/>
            <w:tcBorders>
              <w:top w:val="nil"/>
              <w:left w:val="nil"/>
              <w:bottom w:val="single" w:sz="6" w:space="0" w:color="auto"/>
              <w:right w:val="nil"/>
            </w:tcBorders>
            <w:shd w:val="clear" w:color="auto" w:fill="FFFFFF"/>
            <w:hideMark/>
          </w:tcPr>
          <w:p w:rsidR="000B6952" w:rsidRPr="000B6952" w:rsidRDefault="000B6952" w:rsidP="000B6952">
            <w:pPr>
              <w:spacing w:after="0" w:line="240" w:lineRule="auto"/>
              <w:rPr>
                <w:rFonts w:ascii="Times New Roman" w:eastAsia="Times New Roman" w:hAnsi="Times New Roman" w:cs="Times New Roman"/>
                <w:b/>
                <w:bCs/>
                <w:sz w:val="24"/>
                <w:szCs w:val="24"/>
              </w:rPr>
            </w:pPr>
            <w:r w:rsidRPr="000B6952">
              <w:rPr>
                <w:rFonts w:ascii="Times New Roman" w:eastAsia="Times New Roman" w:hAnsi="Times New Roman" w:cs="Times New Roman"/>
                <w:b/>
                <w:bCs/>
                <w:sz w:val="24"/>
                <w:szCs w:val="24"/>
              </w:rPr>
              <w:t>Date Posted</w:t>
            </w:r>
          </w:p>
        </w:tc>
        <w:tc>
          <w:tcPr>
            <w:tcW w:w="0" w:type="auto"/>
            <w:tcBorders>
              <w:top w:val="nil"/>
              <w:left w:val="nil"/>
              <w:bottom w:val="single" w:sz="6" w:space="0" w:color="auto"/>
              <w:right w:val="nil"/>
            </w:tcBorders>
            <w:shd w:val="clear" w:color="auto" w:fill="EBEBEB"/>
            <w:hideMark/>
          </w:tcPr>
          <w:p w:rsidR="000B6952" w:rsidRPr="000B6952" w:rsidRDefault="000B6952" w:rsidP="000B6952">
            <w:pPr>
              <w:spacing w:after="0" w:line="240" w:lineRule="auto"/>
              <w:rPr>
                <w:rFonts w:ascii="Times New Roman" w:eastAsia="Times New Roman" w:hAnsi="Times New Roman" w:cs="Times New Roman"/>
                <w:sz w:val="24"/>
                <w:szCs w:val="24"/>
              </w:rPr>
            </w:pPr>
            <w:r w:rsidRPr="000B6952">
              <w:rPr>
                <w:rFonts w:ascii="Times New Roman" w:eastAsia="Times New Roman" w:hAnsi="Times New Roman" w:cs="Times New Roman"/>
                <w:sz w:val="24"/>
                <w:szCs w:val="24"/>
              </w:rPr>
              <w:t>Friday, May 10, 2024</w:t>
            </w:r>
          </w:p>
        </w:tc>
      </w:tr>
      <w:tr w:rsidR="000B6952" w:rsidRPr="000B6952" w:rsidTr="000B6952">
        <w:tc>
          <w:tcPr>
            <w:tcW w:w="0" w:type="auto"/>
            <w:tcBorders>
              <w:top w:val="nil"/>
              <w:left w:val="nil"/>
              <w:bottom w:val="single" w:sz="6" w:space="0" w:color="auto"/>
              <w:right w:val="nil"/>
            </w:tcBorders>
            <w:shd w:val="clear" w:color="auto" w:fill="FFFFFF"/>
            <w:hideMark/>
          </w:tcPr>
          <w:p w:rsidR="000B6952" w:rsidRPr="000B6952" w:rsidRDefault="000B6952" w:rsidP="000B6952">
            <w:pPr>
              <w:spacing w:after="0" w:line="240" w:lineRule="auto"/>
              <w:rPr>
                <w:rFonts w:ascii="Times New Roman" w:eastAsia="Times New Roman" w:hAnsi="Times New Roman" w:cs="Times New Roman"/>
                <w:b/>
                <w:bCs/>
                <w:sz w:val="24"/>
                <w:szCs w:val="24"/>
              </w:rPr>
            </w:pPr>
            <w:r w:rsidRPr="000B6952">
              <w:rPr>
                <w:rFonts w:ascii="Times New Roman" w:eastAsia="Times New Roman" w:hAnsi="Times New Roman" w:cs="Times New Roman"/>
                <w:b/>
                <w:bCs/>
                <w:sz w:val="24"/>
                <w:szCs w:val="24"/>
              </w:rPr>
              <w:t>Closing Date</w:t>
            </w:r>
          </w:p>
        </w:tc>
        <w:tc>
          <w:tcPr>
            <w:tcW w:w="0" w:type="auto"/>
            <w:tcBorders>
              <w:top w:val="nil"/>
              <w:left w:val="nil"/>
              <w:bottom w:val="single" w:sz="6" w:space="0" w:color="auto"/>
              <w:right w:val="nil"/>
            </w:tcBorders>
            <w:shd w:val="clear" w:color="auto" w:fill="EBEBEB"/>
            <w:hideMark/>
          </w:tcPr>
          <w:p w:rsidR="000B6952" w:rsidRPr="000B6952" w:rsidRDefault="000B6952" w:rsidP="000B6952">
            <w:pPr>
              <w:spacing w:after="0" w:line="240" w:lineRule="auto"/>
              <w:rPr>
                <w:rFonts w:ascii="Times New Roman" w:eastAsia="Times New Roman" w:hAnsi="Times New Roman" w:cs="Times New Roman"/>
                <w:sz w:val="24"/>
                <w:szCs w:val="24"/>
              </w:rPr>
            </w:pPr>
            <w:r w:rsidRPr="000B6952">
              <w:rPr>
                <w:rFonts w:ascii="Times New Roman" w:eastAsia="Times New Roman" w:hAnsi="Times New Roman" w:cs="Times New Roman"/>
                <w:sz w:val="24"/>
                <w:szCs w:val="24"/>
              </w:rPr>
              <w:t>Friday, May 24, 2024 11:59 p.m. (2359 Manila Time, 0800 GMT)</w:t>
            </w:r>
          </w:p>
        </w:tc>
      </w:tr>
    </w:tbl>
    <w:p w:rsidR="000B6952" w:rsidRDefault="000B6952" w:rsidP="000B6952">
      <w:pPr>
        <w:shd w:val="clear" w:color="auto" w:fill="FFFFFF"/>
        <w:spacing w:before="100" w:beforeAutospacing="1" w:after="100" w:afterAutospacing="1" w:line="240" w:lineRule="auto"/>
        <w:rPr>
          <w:rFonts w:ascii="Segoe UI" w:eastAsia="Times New Roman" w:hAnsi="Segoe UI" w:cs="Segoe UI"/>
          <w:b/>
          <w:bCs/>
          <w:color w:val="333333"/>
          <w:sz w:val="27"/>
          <w:szCs w:val="27"/>
        </w:rPr>
      </w:pPr>
      <w:r>
        <w:rPr>
          <w:rFonts w:ascii="Segoe UI" w:eastAsia="Times New Roman" w:hAnsi="Segoe UI" w:cs="Segoe UI"/>
          <w:b/>
          <w:bCs/>
          <w:color w:val="333333"/>
          <w:sz w:val="27"/>
          <w:szCs w:val="27"/>
        </w:rPr>
        <w:t>Director</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Join Our Mission to Foster Prosperity in Asia</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Are you ready to make a lasting impact on the future of Asia and be a catalyst for positive change? We are thrilled to offer a unique opportunity to become an important part of the prestigious Asian Development Bank (ADB). At ADB, our mission is simple yet powerful: to alleviate poverty and promote sustainable development in the Asia-Pacific region.</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Organizational Setting and Reporting Relationship</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The position of Director is assigned to the Treasury and Liquidity Risk Division (RMTL) within the Office of Risk Management (ORM). You will be based at our Headquarters in Manila, Philippines.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You will report to Head, ORM and will supervise international, national, and administrative staff.</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proofErr w:type="gramStart"/>
      <w:r w:rsidRPr="000B6952">
        <w:rPr>
          <w:rFonts w:ascii="Segoe UI" w:eastAsia="Times New Roman" w:hAnsi="Segoe UI" w:cs="Segoe UI"/>
          <w:b/>
          <w:bCs/>
          <w:color w:val="333333"/>
          <w:sz w:val="27"/>
          <w:szCs w:val="27"/>
        </w:rPr>
        <w:t>Your</w:t>
      </w:r>
      <w:proofErr w:type="gramEnd"/>
      <w:r w:rsidRPr="000B6952">
        <w:rPr>
          <w:rFonts w:ascii="Segoe UI" w:eastAsia="Times New Roman" w:hAnsi="Segoe UI" w:cs="Segoe UI"/>
          <w:b/>
          <w:bCs/>
          <w:color w:val="333333"/>
          <w:sz w:val="27"/>
          <w:szCs w:val="27"/>
        </w:rPr>
        <w:t xml:space="preserve"> Role</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As Director, you will (</w:t>
      </w:r>
      <w:proofErr w:type="spellStart"/>
      <w:r w:rsidRPr="000B6952">
        <w:rPr>
          <w:rFonts w:ascii="Segoe UI" w:eastAsia="Times New Roman" w:hAnsi="Segoe UI" w:cs="Segoe UI"/>
          <w:color w:val="333333"/>
          <w:sz w:val="27"/>
          <w:szCs w:val="27"/>
        </w:rPr>
        <w:t>i</w:t>
      </w:r>
      <w:proofErr w:type="spellEnd"/>
      <w:r w:rsidRPr="000B6952">
        <w:rPr>
          <w:rFonts w:ascii="Segoe UI" w:eastAsia="Times New Roman" w:hAnsi="Segoe UI" w:cs="Segoe UI"/>
          <w:color w:val="333333"/>
          <w:sz w:val="27"/>
          <w:szCs w:val="27"/>
        </w:rPr>
        <w:t xml:space="preserve">) provide leadership for the treasury and liquidity risk management in ADB; (ii) lead the planning, implementation, and supervision of the treasury and liquidity risk management division’s work plan in support of ADB’s goals in risk management; (iii) lead in monitoring market, credit and liquidity risk related to liquidity portfolio as well as borrowing and derivative portfolios; (iv) maintain integrated and comprehensive risk reporting to Management, Board, and other relevant stakeholders on treasury and liquidity risks; (v) oversee the quality of work and ensure the achievement of the division’s mission and goals; and (vi) provide support for the formulation of </w:t>
      </w:r>
      <w:r w:rsidRPr="000B6952">
        <w:rPr>
          <w:rFonts w:ascii="Segoe UI" w:eastAsia="Times New Roman" w:hAnsi="Segoe UI" w:cs="Segoe UI"/>
          <w:color w:val="333333"/>
          <w:sz w:val="27"/>
          <w:szCs w:val="27"/>
        </w:rPr>
        <w:lastRenderedPageBreak/>
        <w:t>ADB policies, guidelines and practices on treasury and liquidity risk management.</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You Will</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a. Leadership and Strategic Management</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xml:space="preserve">• Lead, establish and cascade the division's vision, goals, development strategies and </w:t>
      </w:r>
      <w:proofErr w:type="spellStart"/>
      <w:r w:rsidRPr="000B6952">
        <w:rPr>
          <w:rFonts w:ascii="Segoe UI" w:eastAsia="Times New Roman" w:hAnsi="Segoe UI" w:cs="Segoe UI"/>
          <w:color w:val="333333"/>
          <w:sz w:val="27"/>
          <w:szCs w:val="27"/>
        </w:rPr>
        <w:t>workplan</w:t>
      </w:r>
      <w:proofErr w:type="spellEnd"/>
      <w:r w:rsidRPr="000B6952">
        <w:rPr>
          <w:rFonts w:ascii="Segoe UI" w:eastAsia="Times New Roman" w:hAnsi="Segoe UI" w:cs="Segoe UI"/>
          <w:color w:val="333333"/>
          <w:sz w:val="27"/>
          <w:szCs w:val="27"/>
        </w:rPr>
        <w:t xml:space="preserve"> in support of ADB's goals, departmental goals and in compliance with ADB policies.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Lead the planning, implementation and supervision of work plans as well as monitor the quality of outputs and the achievements of long-term goals and annual objectives for the division.</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Provide leadership in professional and operational matters, taking the lead in contributing new and best practice approaches to strengthen ADB’s risk culture and enhance treasury and liquidity risk management.</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Lead and develop an annual strategic and business plan for benchmarking and achieving the division's targets and accomplishments.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Lead and identify key priority areas of the division.</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b. Treasury Risk Management</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Lead in identifying, formulating, reviewing, and updating risk management policies and guidelines, and ensure that appropriate systems, procedures, limits setting and staffing are in effect to implement those policies so as to pre-empt and avert financial stresses and losses.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Ensure that ADB’s treasury activities remain in compliance with approved ADB risk management appetite/tolerance, policies, and prudential limits.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Supervise the identification, monitoring, measurement, and reporting of market, credit, and liquidity risk exposures arising from treasury investment, funding, and treasury service operations.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lastRenderedPageBreak/>
        <w:t>• Lead to timely assess and approve appropriate waivers, credit limits and new counterparty requests in consideration of ADB’s Treasury operation’s risk tolerance and business needs.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Oversee the delivery of effective risk management reports and analyses in a timely manner to all relevant stakeholder departments, ADB Management and the Board of Directors.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Supervise in undertaking accurate and independent valuations of the derivative and borrowing portfolios for purposes of collateral management and financial reporting. Ensure the effectiveness of collateralizing derivative exposures as per ISDA/CSA terms to mitigate counterparty risks in the derivative operations.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xml:space="preserve">• Lead in performing regular review of the </w:t>
      </w:r>
      <w:proofErr w:type="spellStart"/>
      <w:r w:rsidRPr="000B6952">
        <w:rPr>
          <w:rFonts w:ascii="Segoe UI" w:eastAsia="Times New Roman" w:hAnsi="Segoe UI" w:cs="Segoe UI"/>
          <w:color w:val="333333"/>
          <w:sz w:val="27"/>
          <w:szCs w:val="27"/>
        </w:rPr>
        <w:t>watchlist</w:t>
      </w:r>
      <w:proofErr w:type="spellEnd"/>
      <w:r w:rsidRPr="000B6952">
        <w:rPr>
          <w:rFonts w:ascii="Segoe UI" w:eastAsia="Times New Roman" w:hAnsi="Segoe UI" w:cs="Segoe UI"/>
          <w:color w:val="333333"/>
          <w:sz w:val="27"/>
          <w:szCs w:val="27"/>
        </w:rPr>
        <w:t xml:space="preserve"> framework’s process, in conjunction with concerned departments, on ADB’s depository banks, swap counterparties, and bond issuers to effectively manage counterparty credit exposures and risks.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Ensure direct and effective communications with Treasury Department counterparts and other stakeholder departments, offices, and the institution at large.</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Promote and implement the application of advanced risk analytics available to measure and monitor risk exposures and alter the methodology or process, as appropriate, to reflect new information, policies, and technologies, aligning with the market best practices.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Supervise the maintenance of efficient systems and robust data controls in RMTL to ensure timely generation of accurate market risk, counterparty credit exposure and limit compliance reports relating to Treasury operations, as well as alignment with ORM-wide initiatives to centralize data management.</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Lead in measuring and reporting ADB’s Internal Asset Management and External Asset Management investment portfolio performance and attribution analysis in accordance with the Global Investment Performance Standards (GIPS) issued by the Chartered Financial Analyst Institute.</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lastRenderedPageBreak/>
        <w:t>• Supervise the functions related to investment and funding activities by ensuring a timely and accurate confirmation of swap transactions through correct capturing of the trade terms and conditions.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c. Liquidity Risk Management</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Lead the establishment of a new second line of defense function for liquidity risk management including the oversight of liquidity-related activities of ADB in ensuring that the ordinary capital resources (OCR) funds and other Funds are managed in accordance with ADB policies and guidelines.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Ensure adherence of the first line of defense activities to internal liquidity risk policies.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Lead in providing advisory support on all issues relating to ADB’s liquidity risk management, interfacing with ORM’s various risk management functions and collaborating as needed to establish a robust liquidity risk management practice.</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Lead in developing and reporting suitable liquidity risk indicators; monitoring and reporting on expected cash flows from ADB’s balance sheet and operation; and assessing the management of ADB’s local currency liquidity, including limits.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Lead in addressing questions and ad hoc requests related to liquidity risk management from senior management and other stakeholders by ensuring prompt resolution.</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Develop relationships with stakeholder departments and offices to cultivate liquidity risk management awareness across ADB to support monitoring and assessment activities as well as the remediation of identified issues.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d. Policy and Methodology</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Lead in providing support and inputs in the review and updating of ADB's policies, guidelines and practices on treasury and liquidity risk management.</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e. Knowledge Sharing</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lastRenderedPageBreak/>
        <w:t>• Maintain and share knowledge of emerging best practices, Basel standards and other international standards in treasury and liquidity risk management.</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Serve as a resource person and provide support in organizing and conducting risk training to promote risk culture in ADB.</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f. External Relations and Coordination</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Provide support for relationship management, consultation and coordination with peer multilateral institutions, government, development partners, credit rating agencies and private sector groups in area of responsibility.</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g. Internal Relations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Provide support for relationship management and coordination with the Board, Senior Management, and other departments.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h. Division Operations Management</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Lead effective day-to-day operations and provide guidance on operational issues and ADB policies.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Inform and provide recommendations to the Head of ORM of significant developments, emerging opportunities, and challenges in area of responsibility.</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Lead and facilitate effective division coordination and cooperation with other ADB departments and internal stakeholders.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Undertake the performance management of the division, including motivation of staff.</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Manage budget and resource allocation for the division.</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proofErr w:type="spellStart"/>
      <w:r w:rsidRPr="000B6952">
        <w:rPr>
          <w:rFonts w:ascii="Segoe UI" w:eastAsia="Times New Roman" w:hAnsi="Segoe UI" w:cs="Segoe UI"/>
          <w:b/>
          <w:bCs/>
          <w:color w:val="333333"/>
          <w:sz w:val="27"/>
          <w:szCs w:val="27"/>
        </w:rPr>
        <w:t>i</w:t>
      </w:r>
      <w:proofErr w:type="spellEnd"/>
      <w:r w:rsidRPr="000B6952">
        <w:rPr>
          <w:rFonts w:ascii="Segoe UI" w:eastAsia="Times New Roman" w:hAnsi="Segoe UI" w:cs="Segoe UI"/>
          <w:b/>
          <w:bCs/>
          <w:color w:val="333333"/>
          <w:sz w:val="27"/>
          <w:szCs w:val="27"/>
        </w:rPr>
        <w:t>. Staff Supervision</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Take the role of team leader and supervise the work of team members.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lastRenderedPageBreak/>
        <w:t>• Supervise the performance of reporting staff, providing clear direction and regular monitoring and feedback on performance.</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Provide coaching and mentoring to team and individuals and ensure their on-going learning and development.</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p>
    <w:p w:rsidR="000B6952" w:rsidRPr="000B6952" w:rsidRDefault="000B6952" w:rsidP="000B6952">
      <w:pPr>
        <w:shd w:val="clear" w:color="auto" w:fill="FFFFFF"/>
        <w:spacing w:before="100" w:beforeAutospacing="1" w:after="100" w:afterAutospacing="1" w:line="240" w:lineRule="auto"/>
        <w:outlineLvl w:val="2"/>
        <w:rPr>
          <w:rFonts w:ascii="Arial" w:eastAsia="Times New Roman" w:hAnsi="Arial" w:cs="Arial"/>
          <w:color w:val="333333"/>
          <w:spacing w:val="-4"/>
          <w:sz w:val="27"/>
          <w:szCs w:val="27"/>
        </w:rPr>
      </w:pPr>
      <w:r w:rsidRPr="000B6952">
        <w:rPr>
          <w:rFonts w:ascii="Arial" w:eastAsia="Times New Roman" w:hAnsi="Arial" w:cs="Arial"/>
          <w:color w:val="333333"/>
          <w:spacing w:val="-4"/>
          <w:sz w:val="27"/>
          <w:szCs w:val="27"/>
        </w:rPr>
        <w:t>Qualifications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You will need:</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 Master’s degree or equivalent, in finance, accounting, business administration, economics or related fields; or University degree in finance, accounting, business administration, economics, or related fields and at least 10 years specialized experience relevant to the position can be considered. Suitability to undertake the responsibilities mentioned above at the required level.</w:t>
      </w:r>
      <w:r w:rsidRPr="000B6952">
        <w:rPr>
          <w:rFonts w:ascii="Segoe UI" w:eastAsia="Times New Roman" w:hAnsi="Segoe UI" w:cs="Segoe UI"/>
          <w:color w:val="333333"/>
          <w:sz w:val="27"/>
          <w:szCs w:val="27"/>
        </w:rPr>
        <w:br/>
        <w:t>• At least 15 years of relevant experience in treasury risk management and/or lending operations and hands-on experience in balance sheet liquidity risk management / asset liability management (ALM) with a commercial bank or multilateral development bank, preferably in international financial institutions or multilateral/bilateral development organizations</w:t>
      </w:r>
      <w:r w:rsidRPr="000B6952">
        <w:rPr>
          <w:rFonts w:ascii="Segoe UI" w:eastAsia="Times New Roman" w:hAnsi="Segoe UI" w:cs="Segoe UI"/>
          <w:color w:val="333333"/>
          <w:sz w:val="27"/>
          <w:szCs w:val="27"/>
        </w:rPr>
        <w:br/>
        <w:t>• Strong understanding of a multilateral development bank’s treasury operations, financial policies, liquidity strategies and controls, as well as the global capital markets and their products, especially complex derivatives (e.g. interest rate and cross currency swaps).</w:t>
      </w:r>
      <w:r w:rsidRPr="000B6952">
        <w:rPr>
          <w:rFonts w:ascii="Segoe UI" w:eastAsia="Times New Roman" w:hAnsi="Segoe UI" w:cs="Segoe UI"/>
          <w:color w:val="333333"/>
          <w:sz w:val="27"/>
          <w:szCs w:val="27"/>
        </w:rPr>
        <w:br/>
        <w:t>• In-depth understanding of multilateral financial institutions’ balance-sheet dynamics and ALM operations.</w:t>
      </w:r>
      <w:r w:rsidRPr="000B6952">
        <w:rPr>
          <w:rFonts w:ascii="Segoe UI" w:eastAsia="Times New Roman" w:hAnsi="Segoe UI" w:cs="Segoe UI"/>
          <w:color w:val="333333"/>
          <w:sz w:val="27"/>
          <w:szCs w:val="27"/>
        </w:rPr>
        <w:br/>
        <w:t>• Solid knowledge of swap valuation models, and accounting requirements related to Financial Accounting Standards Board 133 (FASB133).</w:t>
      </w:r>
      <w:r w:rsidRPr="000B6952">
        <w:rPr>
          <w:rFonts w:ascii="Segoe UI" w:eastAsia="Times New Roman" w:hAnsi="Segoe UI" w:cs="Segoe UI"/>
          <w:color w:val="333333"/>
          <w:sz w:val="27"/>
          <w:szCs w:val="27"/>
        </w:rPr>
        <w:br/>
        <w:t>• Solid knowledge of financial concepts and quantitative tools of fixed income valuation, risk, and performance measurement</w:t>
      </w:r>
      <w:r w:rsidRPr="000B6952">
        <w:rPr>
          <w:rFonts w:ascii="Segoe UI" w:eastAsia="Times New Roman" w:hAnsi="Segoe UI" w:cs="Segoe UI"/>
          <w:color w:val="333333"/>
          <w:sz w:val="27"/>
          <w:szCs w:val="27"/>
        </w:rPr>
        <w:br/>
        <w:t>• Understanding of risk management principles, methodologies and tools, and governance principles and activity in a financial services environment</w:t>
      </w:r>
      <w:r w:rsidRPr="000B6952">
        <w:rPr>
          <w:rFonts w:ascii="Segoe UI" w:eastAsia="Times New Roman" w:hAnsi="Segoe UI" w:cs="Segoe UI"/>
          <w:color w:val="333333"/>
          <w:sz w:val="27"/>
          <w:szCs w:val="27"/>
        </w:rPr>
        <w:br/>
        <w:t>• Proficiency in treasury and liquidity risk data management and analysis</w:t>
      </w:r>
      <w:r w:rsidRPr="000B6952">
        <w:rPr>
          <w:rFonts w:ascii="Segoe UI" w:eastAsia="Times New Roman" w:hAnsi="Segoe UI" w:cs="Segoe UI"/>
          <w:color w:val="333333"/>
          <w:sz w:val="27"/>
          <w:szCs w:val="27"/>
        </w:rPr>
        <w:br/>
        <w:t xml:space="preserve">• Relevant financial services sector experience and knowledge of financial </w:t>
      </w:r>
      <w:r w:rsidRPr="000B6952">
        <w:rPr>
          <w:rFonts w:ascii="Segoe UI" w:eastAsia="Times New Roman" w:hAnsi="Segoe UI" w:cs="Segoe UI"/>
          <w:color w:val="333333"/>
          <w:sz w:val="27"/>
          <w:szCs w:val="27"/>
        </w:rPr>
        <w:lastRenderedPageBreak/>
        <w:t>industry regulatory environment related to treasury and liquidity risk.</w:t>
      </w:r>
      <w:r w:rsidRPr="000B6952">
        <w:rPr>
          <w:rFonts w:ascii="Segoe UI" w:eastAsia="Times New Roman" w:hAnsi="Segoe UI" w:cs="Segoe UI"/>
          <w:color w:val="333333"/>
          <w:sz w:val="27"/>
          <w:szCs w:val="27"/>
        </w:rPr>
        <w:br/>
        <w:t>• Proven track record in the development and deployment of treasury and liquidity risk measurement models</w:t>
      </w:r>
      <w:r w:rsidRPr="000B6952">
        <w:rPr>
          <w:rFonts w:ascii="Segoe UI" w:eastAsia="Times New Roman" w:hAnsi="Segoe UI" w:cs="Segoe UI"/>
          <w:color w:val="333333"/>
          <w:sz w:val="27"/>
          <w:szCs w:val="27"/>
        </w:rPr>
        <w:br/>
        <w:t>• Demonstrated project management expertise and experience in treasury and liquidity risk systems.</w:t>
      </w:r>
      <w:r w:rsidRPr="000B6952">
        <w:rPr>
          <w:rFonts w:ascii="Segoe UI" w:eastAsia="Times New Roman" w:hAnsi="Segoe UI" w:cs="Segoe UI"/>
          <w:color w:val="333333"/>
          <w:sz w:val="27"/>
          <w:szCs w:val="27"/>
        </w:rPr>
        <w:br/>
        <w:t>• Strong analytical capabilities and problem-solving skills, excellent team leadership skills including strong ability to manage effective teamwork and communication.</w:t>
      </w:r>
      <w:r w:rsidRPr="000B6952">
        <w:rPr>
          <w:rFonts w:ascii="Segoe UI" w:eastAsia="Times New Roman" w:hAnsi="Segoe UI" w:cs="Segoe UI"/>
          <w:color w:val="333333"/>
          <w:sz w:val="27"/>
          <w:szCs w:val="27"/>
        </w:rPr>
        <w:br/>
        <w:t>• Excellent oral and written communication skills in English.</w:t>
      </w:r>
      <w:r w:rsidRPr="000B6952">
        <w:rPr>
          <w:rFonts w:ascii="Segoe UI" w:eastAsia="Times New Roman" w:hAnsi="Segoe UI" w:cs="Segoe UI"/>
          <w:color w:val="333333"/>
          <w:sz w:val="27"/>
          <w:szCs w:val="27"/>
        </w:rPr>
        <w:br/>
        <w:t>• International experience working in several countries.</w:t>
      </w:r>
      <w:r w:rsidRPr="000B6952">
        <w:rPr>
          <w:rFonts w:ascii="Segoe UI" w:eastAsia="Times New Roman" w:hAnsi="Segoe UI" w:cs="Segoe UI"/>
          <w:color w:val="333333"/>
          <w:sz w:val="27"/>
          <w:szCs w:val="27"/>
        </w:rPr>
        <w:br/>
        <w:t>• Please refer to the </w:t>
      </w:r>
      <w:hyperlink r:id="rId4" w:history="1">
        <w:r w:rsidRPr="000B6952">
          <w:rPr>
            <w:rFonts w:ascii="Segoe UI" w:eastAsia="Times New Roman" w:hAnsi="Segoe UI" w:cs="Segoe UI"/>
            <w:color w:val="0090C4"/>
            <w:sz w:val="27"/>
            <w:szCs w:val="27"/>
            <w:u w:val="single"/>
          </w:rPr>
          <w:t>link</w:t>
        </w:r>
      </w:hyperlink>
      <w:r w:rsidRPr="000B6952">
        <w:rPr>
          <w:rFonts w:ascii="Segoe UI" w:eastAsia="Times New Roman" w:hAnsi="Segoe UI" w:cs="Segoe UI"/>
          <w:color w:val="333333"/>
          <w:sz w:val="27"/>
          <w:szCs w:val="27"/>
        </w:rPr>
        <w:t> for ADB Competency Framework for International Staff Level 7.</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Benefits</w:t>
      </w:r>
      <w:r w:rsidRPr="000B6952">
        <w:rPr>
          <w:rFonts w:ascii="Segoe UI" w:eastAsia="Times New Roman" w:hAnsi="Segoe UI" w:cs="Segoe UI"/>
          <w:b/>
          <w:bCs/>
          <w:color w:val="333333"/>
          <w:sz w:val="27"/>
          <w:szCs w:val="27"/>
        </w:rPr>
        <w:br/>
      </w:r>
      <w:r w:rsidRPr="000B6952">
        <w:rPr>
          <w:rFonts w:ascii="Segoe UI" w:eastAsia="Times New Roman" w:hAnsi="Segoe UI" w:cs="Segoe UI"/>
          <w:b/>
          <w:bCs/>
          <w:color w:val="333333"/>
          <w:sz w:val="27"/>
          <w:szCs w:val="27"/>
        </w:rPr>
        <w:br/>
      </w:r>
      <w:r w:rsidRPr="000B6952">
        <w:rPr>
          <w:rFonts w:ascii="Segoe UI" w:eastAsia="Times New Roman" w:hAnsi="Segoe UI" w:cs="Segoe UI"/>
          <w:color w:val="333333"/>
          <w:sz w:val="27"/>
          <w:szCs w:val="27"/>
        </w:rPr>
        <w:t>ADB offers competitive compensation and a comprehensive </w:t>
      </w:r>
      <w:hyperlink r:id="rId5" w:tgtFrame="_blank" w:history="1">
        <w:r w:rsidRPr="000B6952">
          <w:rPr>
            <w:rFonts w:ascii="Segoe UI" w:eastAsia="Times New Roman" w:hAnsi="Segoe UI" w:cs="Segoe UI"/>
            <w:color w:val="0090C4"/>
            <w:sz w:val="27"/>
            <w:szCs w:val="27"/>
            <w:u w:val="single"/>
          </w:rPr>
          <w:t>benefits package</w:t>
        </w:r>
      </w:hyperlink>
      <w:r w:rsidRPr="000B6952">
        <w:rPr>
          <w:rFonts w:ascii="Segoe UI" w:eastAsia="Times New Roman" w:hAnsi="Segoe UI" w:cs="Segoe UI"/>
          <w:color w:val="333333"/>
          <w:sz w:val="27"/>
          <w:szCs w:val="27"/>
        </w:rPr>
        <w:t>. The salary will be based on ADB’s standards and comparator markets, taking into account your qualifications and experience.</w:t>
      </w:r>
      <w:r w:rsidRPr="000B6952">
        <w:rPr>
          <w:rFonts w:ascii="Segoe UI" w:eastAsia="Times New Roman" w:hAnsi="Segoe UI" w:cs="Segoe UI"/>
          <w:color w:val="333333"/>
          <w:sz w:val="27"/>
          <w:szCs w:val="27"/>
        </w:rPr>
        <w:br/>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 </w:t>
      </w:r>
      <w:r w:rsidRPr="000B6952">
        <w:rPr>
          <w:rFonts w:ascii="Segoe UI" w:eastAsia="Times New Roman" w:hAnsi="Segoe UI" w:cs="Segoe UI"/>
          <w:color w:val="333333"/>
          <w:sz w:val="27"/>
          <w:szCs w:val="27"/>
        </w:rPr>
        <w:t>Paid leave (including parental)</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 </w:t>
      </w:r>
      <w:r w:rsidRPr="000B6952">
        <w:rPr>
          <w:rFonts w:ascii="Segoe UI" w:eastAsia="Times New Roman" w:hAnsi="Segoe UI" w:cs="Segoe UI"/>
          <w:color w:val="333333"/>
          <w:sz w:val="27"/>
          <w:szCs w:val="27"/>
        </w:rPr>
        <w:t>Medical and health benefits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 </w:t>
      </w:r>
      <w:r w:rsidRPr="000B6952">
        <w:rPr>
          <w:rFonts w:ascii="Segoe UI" w:eastAsia="Times New Roman" w:hAnsi="Segoe UI" w:cs="Segoe UI"/>
          <w:color w:val="333333"/>
          <w:sz w:val="27"/>
          <w:szCs w:val="27"/>
        </w:rPr>
        <w:t>Life and other insurance plans</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 </w:t>
      </w:r>
      <w:r w:rsidRPr="000B6952">
        <w:rPr>
          <w:rFonts w:ascii="Segoe UI" w:eastAsia="Times New Roman" w:hAnsi="Segoe UI" w:cs="Segoe UI"/>
          <w:color w:val="333333"/>
          <w:sz w:val="27"/>
          <w:szCs w:val="27"/>
        </w:rPr>
        <w:t>Staff development</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 </w:t>
      </w:r>
      <w:r w:rsidRPr="000B6952">
        <w:rPr>
          <w:rFonts w:ascii="Segoe UI" w:eastAsia="Times New Roman" w:hAnsi="Segoe UI" w:cs="Segoe UI"/>
          <w:color w:val="333333"/>
          <w:sz w:val="27"/>
          <w:szCs w:val="27"/>
        </w:rPr>
        <w:t>Retirement plan</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 </w:t>
      </w:r>
      <w:r w:rsidRPr="000B6952">
        <w:rPr>
          <w:rFonts w:ascii="Segoe UI" w:eastAsia="Times New Roman" w:hAnsi="Segoe UI" w:cs="Segoe UI"/>
          <w:color w:val="333333"/>
          <w:sz w:val="27"/>
          <w:szCs w:val="27"/>
        </w:rPr>
        <w:t>Housing and education allowance (if applicable)</w:t>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 </w:t>
      </w:r>
      <w:r w:rsidRPr="000B6952">
        <w:rPr>
          <w:rFonts w:ascii="Segoe UI" w:eastAsia="Times New Roman" w:hAnsi="Segoe UI" w:cs="Segoe UI"/>
          <w:color w:val="333333"/>
          <w:sz w:val="27"/>
          <w:szCs w:val="27"/>
        </w:rPr>
        <w:t>Expatriate benefits (for international staff)</w:t>
      </w:r>
      <w:r w:rsidRPr="000B6952">
        <w:rPr>
          <w:rFonts w:ascii="Segoe UI" w:eastAsia="Times New Roman" w:hAnsi="Segoe UI" w:cs="Segoe UI"/>
          <w:color w:val="333333"/>
          <w:sz w:val="27"/>
          <w:szCs w:val="27"/>
        </w:rPr>
        <w:br/>
      </w:r>
      <w:r w:rsidRPr="000B6952">
        <w:rPr>
          <w:rFonts w:ascii="Segoe UI" w:eastAsia="Times New Roman" w:hAnsi="Segoe UI" w:cs="Segoe UI"/>
          <w:color w:val="333333"/>
          <w:sz w:val="27"/>
          <w:szCs w:val="27"/>
        </w:rPr>
        <w:br/>
      </w:r>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b/>
          <w:bCs/>
          <w:color w:val="333333"/>
          <w:sz w:val="27"/>
          <w:szCs w:val="27"/>
        </w:rPr>
        <w:t>Additional Information</w:t>
      </w:r>
      <w:bookmarkStart w:id="0" w:name="_GoBack"/>
      <w:bookmarkEnd w:id="0"/>
    </w:p>
    <w:p w:rsidR="000B6952" w:rsidRPr="000B6952" w:rsidRDefault="000B6952" w:rsidP="000B6952">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lastRenderedPageBreak/>
        <w:t>This is a fixed term appointment or assignment for senior staff, for a period of three (3) years. This opening is open to internal and external applicants.</w:t>
      </w:r>
      <w:r w:rsidRPr="000B6952">
        <w:rPr>
          <w:rFonts w:ascii="Segoe UI" w:eastAsia="Times New Roman" w:hAnsi="Segoe UI" w:cs="Segoe UI"/>
          <w:color w:val="333333"/>
          <w:sz w:val="27"/>
          <w:szCs w:val="27"/>
        </w:rPr>
        <w:br/>
      </w:r>
      <w:r w:rsidRPr="000B6952">
        <w:rPr>
          <w:rFonts w:ascii="Segoe UI" w:eastAsia="Times New Roman" w:hAnsi="Segoe UI" w:cs="Segoe UI"/>
          <w:color w:val="333333"/>
          <w:sz w:val="27"/>
          <w:szCs w:val="27"/>
        </w:rPr>
        <w:br/>
        <w:t>If you are selected as an external candidate, the appointment may be extended for a period of up to 3 years per extension, or not renewed. In case of extension, staff may continue in the position for another term of up to 3 years.</w:t>
      </w:r>
      <w:r w:rsidRPr="000B6952">
        <w:rPr>
          <w:rFonts w:ascii="Segoe UI" w:eastAsia="Times New Roman" w:hAnsi="Segoe UI" w:cs="Segoe UI"/>
          <w:color w:val="333333"/>
          <w:sz w:val="27"/>
          <w:szCs w:val="27"/>
        </w:rPr>
        <w:br/>
      </w:r>
      <w:r w:rsidRPr="000B6952">
        <w:rPr>
          <w:rFonts w:ascii="Segoe UI" w:eastAsia="Times New Roman" w:hAnsi="Segoe UI" w:cs="Segoe UI"/>
          <w:color w:val="333333"/>
          <w:sz w:val="27"/>
          <w:szCs w:val="27"/>
        </w:rPr>
        <w:br/>
        <w:t>At the end of the initial period, ADB, as its discretion may: (a) renew a fixed term appointment or assignment, or (b) not renew a fixed term appointment.</w:t>
      </w:r>
      <w:r w:rsidRPr="000B6952">
        <w:rPr>
          <w:rFonts w:ascii="Segoe UI" w:eastAsia="Times New Roman" w:hAnsi="Segoe UI" w:cs="Segoe UI"/>
          <w:color w:val="333333"/>
          <w:sz w:val="27"/>
          <w:szCs w:val="27"/>
        </w:rPr>
        <w:br/>
      </w:r>
      <w:r w:rsidRPr="000B6952">
        <w:rPr>
          <w:rFonts w:ascii="Segoe UI" w:eastAsia="Times New Roman" w:hAnsi="Segoe UI" w:cs="Segoe UI"/>
          <w:color w:val="333333"/>
          <w:sz w:val="27"/>
          <w:szCs w:val="27"/>
        </w:rPr>
        <w:br/>
        <w:t>Fixed-term appointments or assignments for senior staff are subject to terms and conditions determined by ADB as indicated in all relevant policies.</w:t>
      </w:r>
      <w:r w:rsidRPr="000B6952">
        <w:rPr>
          <w:rFonts w:ascii="Segoe UI" w:eastAsia="Times New Roman" w:hAnsi="Segoe UI" w:cs="Segoe UI"/>
          <w:color w:val="333333"/>
          <w:sz w:val="27"/>
          <w:szCs w:val="27"/>
        </w:rPr>
        <w:br/>
      </w:r>
      <w:r w:rsidRPr="000B6952">
        <w:rPr>
          <w:rFonts w:ascii="Segoe UI" w:eastAsia="Times New Roman" w:hAnsi="Segoe UI" w:cs="Segoe UI"/>
          <w:color w:val="333333"/>
          <w:sz w:val="27"/>
          <w:szCs w:val="27"/>
        </w:rPr>
        <w:br/>
      </w:r>
    </w:p>
    <w:p w:rsidR="00D51BBA" w:rsidRDefault="000B6952" w:rsidP="00E009B4">
      <w:pPr>
        <w:shd w:val="clear" w:color="auto" w:fill="FFFFFF"/>
        <w:spacing w:before="100" w:beforeAutospacing="1" w:after="100" w:afterAutospacing="1" w:line="240" w:lineRule="auto"/>
        <w:rPr>
          <w:rFonts w:ascii="Segoe UI" w:eastAsia="Times New Roman" w:hAnsi="Segoe UI" w:cs="Segoe UI"/>
          <w:color w:val="333333"/>
          <w:sz w:val="27"/>
          <w:szCs w:val="27"/>
        </w:rPr>
      </w:pPr>
      <w:r w:rsidRPr="000B6952">
        <w:rPr>
          <w:rFonts w:ascii="Segoe UI" w:eastAsia="Times New Roman" w:hAnsi="Segoe UI" w:cs="Segoe UI"/>
          <w:color w:val="333333"/>
          <w:sz w:val="27"/>
          <w:szCs w:val="27"/>
        </w:rPr>
        <w:t>About Us</w:t>
      </w:r>
      <w:r w:rsidRPr="000B6952">
        <w:rPr>
          <w:rFonts w:ascii="Segoe UI" w:eastAsia="Times New Roman" w:hAnsi="Segoe UI" w:cs="Segoe UI"/>
          <w:color w:val="333333"/>
          <w:sz w:val="27"/>
          <w:szCs w:val="27"/>
        </w:rPr>
        <w:br/>
      </w:r>
      <w:r w:rsidRPr="000B6952">
        <w:rPr>
          <w:rFonts w:ascii="Segoe UI" w:eastAsia="Times New Roman" w:hAnsi="Segoe UI" w:cs="Segoe UI"/>
          <w:color w:val="333333"/>
          <w:sz w:val="27"/>
          <w:szCs w:val="27"/>
        </w:rPr>
        <w:br/>
        <w:t>Asian Development Bank (ADB) is an international development finance institution headquartered in Manila, Philippines and is composed of 68 members, 49 of which are from the Asia and Pacific region. ADB is committed to achieving a prosperous, inclusive, resilient, and sustainable Asia and the Pacific, while sustaining its efforts to eradicate extreme poverty. ADB combines finance, knowledge, and partnerships to fulfill its expanded vision under its </w:t>
      </w:r>
      <w:hyperlink r:id="rId6" w:tgtFrame="_blank" w:history="1">
        <w:r w:rsidRPr="000B6952">
          <w:rPr>
            <w:rFonts w:ascii="Segoe UI" w:eastAsia="Times New Roman" w:hAnsi="Segoe UI" w:cs="Segoe UI"/>
            <w:color w:val="0090C4"/>
            <w:sz w:val="27"/>
            <w:szCs w:val="27"/>
            <w:u w:val="single"/>
          </w:rPr>
          <w:t>Strategy 2030</w:t>
        </w:r>
      </w:hyperlink>
      <w:r w:rsidRPr="000B6952">
        <w:rPr>
          <w:rFonts w:ascii="Segoe UI" w:eastAsia="Times New Roman" w:hAnsi="Segoe UI" w:cs="Segoe UI"/>
          <w:color w:val="333333"/>
          <w:sz w:val="27"/>
          <w:szCs w:val="27"/>
        </w:rPr>
        <w:t>.</w:t>
      </w:r>
      <w:r w:rsidRPr="000B6952">
        <w:rPr>
          <w:rFonts w:ascii="Segoe UI" w:eastAsia="Times New Roman" w:hAnsi="Segoe UI" w:cs="Segoe UI"/>
          <w:color w:val="333333"/>
          <w:sz w:val="27"/>
          <w:szCs w:val="27"/>
        </w:rPr>
        <w:br/>
      </w:r>
      <w:r w:rsidRPr="000B6952">
        <w:rPr>
          <w:rFonts w:ascii="Segoe UI" w:eastAsia="Times New Roman" w:hAnsi="Segoe UI" w:cs="Segoe UI"/>
          <w:color w:val="333333"/>
          <w:sz w:val="27"/>
          <w:szCs w:val="27"/>
        </w:rPr>
        <w:br/>
        <w:t>ADB only hires nationals of its </w:t>
      </w:r>
      <w:hyperlink r:id="rId7" w:tgtFrame="_blank" w:history="1">
        <w:r w:rsidRPr="000B6952">
          <w:rPr>
            <w:rFonts w:ascii="Segoe UI" w:eastAsia="Times New Roman" w:hAnsi="Segoe UI" w:cs="Segoe UI"/>
            <w:color w:val="0090C4"/>
            <w:sz w:val="27"/>
            <w:szCs w:val="27"/>
            <w:u w:val="single"/>
          </w:rPr>
          <w:t>68 members</w:t>
        </w:r>
      </w:hyperlink>
      <w:r w:rsidRPr="000B6952">
        <w:rPr>
          <w:rFonts w:ascii="Segoe UI" w:eastAsia="Times New Roman" w:hAnsi="Segoe UI" w:cs="Segoe UI"/>
          <w:color w:val="333333"/>
          <w:sz w:val="27"/>
          <w:szCs w:val="27"/>
        </w:rPr>
        <w:t>.</w:t>
      </w:r>
      <w:r w:rsidRPr="000B6952">
        <w:rPr>
          <w:rFonts w:ascii="Segoe UI" w:eastAsia="Times New Roman" w:hAnsi="Segoe UI" w:cs="Segoe UI"/>
          <w:color w:val="333333"/>
          <w:sz w:val="27"/>
          <w:szCs w:val="27"/>
        </w:rPr>
        <w:br/>
      </w:r>
      <w:r w:rsidRPr="000B6952">
        <w:rPr>
          <w:rFonts w:ascii="Segoe UI" w:eastAsia="Times New Roman" w:hAnsi="Segoe UI" w:cs="Segoe UI"/>
          <w:color w:val="333333"/>
          <w:sz w:val="27"/>
          <w:szCs w:val="27"/>
        </w:rPr>
        <w:br/>
        <w:t>To view ADB Organizational Chart, please click </w:t>
      </w:r>
      <w:hyperlink r:id="rId8" w:tgtFrame="_blank" w:history="1">
        <w:r w:rsidRPr="000B6952">
          <w:rPr>
            <w:rFonts w:ascii="Segoe UI" w:eastAsia="Times New Roman" w:hAnsi="Segoe UI" w:cs="Segoe UI"/>
            <w:color w:val="0090C4"/>
            <w:sz w:val="27"/>
            <w:szCs w:val="27"/>
            <w:u w:val="single"/>
          </w:rPr>
          <w:t>here</w:t>
        </w:r>
      </w:hyperlink>
      <w:r w:rsidRPr="000B6952">
        <w:rPr>
          <w:rFonts w:ascii="Segoe UI" w:eastAsia="Times New Roman" w:hAnsi="Segoe UI" w:cs="Segoe UI"/>
          <w:color w:val="333333"/>
          <w:sz w:val="27"/>
          <w:szCs w:val="27"/>
        </w:rPr>
        <w:t>.</w:t>
      </w:r>
      <w:r w:rsidRPr="000B6952">
        <w:rPr>
          <w:rFonts w:ascii="Segoe UI" w:eastAsia="Times New Roman" w:hAnsi="Segoe UI" w:cs="Segoe UI"/>
          <w:color w:val="333333"/>
          <w:sz w:val="27"/>
          <w:szCs w:val="27"/>
        </w:rPr>
        <w:br/>
      </w:r>
      <w:r w:rsidRPr="000B6952">
        <w:rPr>
          <w:rFonts w:ascii="Segoe UI" w:eastAsia="Times New Roman" w:hAnsi="Segoe UI" w:cs="Segoe UI"/>
          <w:color w:val="333333"/>
          <w:sz w:val="27"/>
          <w:szCs w:val="27"/>
        </w:rPr>
        <w:br/>
        <w:t>ADB seeks to ensure that everyone is treated with respect and given equal opportunities to work in an inclusive environment. ADB encourages all qualified candidates to apply regardless of their racial, ethnic, religious and cultural background, gender, sexual orientation or disabilities. Women are highly encouraged to apply.</w:t>
      </w:r>
    </w:p>
    <w:p w:rsidR="00E009B4" w:rsidRPr="00E009B4" w:rsidRDefault="00E009B4" w:rsidP="00E009B4">
      <w:pPr>
        <w:shd w:val="clear" w:color="auto" w:fill="FFFFFF"/>
        <w:spacing w:before="100" w:beforeAutospacing="1" w:after="100" w:afterAutospacing="1" w:line="240" w:lineRule="auto"/>
        <w:rPr>
          <w:rFonts w:ascii="Segoe UI" w:eastAsia="Times New Roman" w:hAnsi="Segoe UI" w:cs="Segoe UI"/>
          <w:color w:val="333333"/>
          <w:sz w:val="27"/>
          <w:szCs w:val="27"/>
        </w:rPr>
      </w:pPr>
      <w:hyperlink r:id="rId9" w:history="1">
        <w:r w:rsidRPr="00E009B4">
          <w:rPr>
            <w:rStyle w:val="Hyperlink"/>
            <w:rFonts w:ascii="Segoe UI" w:eastAsia="Times New Roman" w:hAnsi="Segoe UI" w:cs="Segoe UI"/>
            <w:sz w:val="27"/>
            <w:szCs w:val="27"/>
          </w:rPr>
          <w:t>Apply using this link</w:t>
        </w:r>
      </w:hyperlink>
    </w:p>
    <w:sectPr w:rsidR="00E009B4" w:rsidRPr="00E00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2F"/>
    <w:rsid w:val="000B6952"/>
    <w:rsid w:val="0097032F"/>
    <w:rsid w:val="00D51BBA"/>
    <w:rsid w:val="00E0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357A0-8F11-49EE-8423-F66F07E2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B69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695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B69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6952"/>
    <w:rPr>
      <w:b/>
      <w:bCs/>
    </w:rPr>
  </w:style>
  <w:style w:type="character" w:styleId="Hyperlink">
    <w:name w:val="Hyperlink"/>
    <w:basedOn w:val="DefaultParagraphFont"/>
    <w:uiPriority w:val="99"/>
    <w:unhideWhenUsed/>
    <w:rsid w:val="000B69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6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b.org/who-we-are/organization" TargetMode="External"/><Relationship Id="rId3" Type="http://schemas.openxmlformats.org/officeDocument/2006/relationships/webSettings" Target="webSettings.xml"/><Relationship Id="rId7" Type="http://schemas.openxmlformats.org/officeDocument/2006/relationships/hyperlink" Target="https://www.adb.org/about/memb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b.org/documents/strategy-2030-prosperous-inclusive-resilient-sustainable-asia-pacific" TargetMode="External"/><Relationship Id="rId11" Type="http://schemas.openxmlformats.org/officeDocument/2006/relationships/theme" Target="theme/theme1.xml"/><Relationship Id="rId5" Type="http://schemas.openxmlformats.org/officeDocument/2006/relationships/hyperlink" Target="https://www.adb.org/site/careers/what-we-offer" TargetMode="External"/><Relationship Id="rId10" Type="http://schemas.openxmlformats.org/officeDocument/2006/relationships/fontTable" Target="fontTable.xml"/><Relationship Id="rId4" Type="http://schemas.openxmlformats.org/officeDocument/2006/relationships/hyperlink" Target="https://www.adb.org/sites/default/files/page/42368/adb-competencies-international-staff-7-8-201908.pdf" TargetMode="External"/><Relationship Id="rId9" Type="http://schemas.openxmlformats.org/officeDocument/2006/relationships/hyperlink" Target="https://www.adb.org/careers/240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2003</Words>
  <Characters>11420</Characters>
  <Application>Microsoft Office Word</Application>
  <DocSecurity>0</DocSecurity>
  <Lines>95</Lines>
  <Paragraphs>26</Paragraphs>
  <ScaleCrop>false</ScaleCrop>
  <Company/>
  <LinksUpToDate>false</LinksUpToDate>
  <CharactersWithSpaces>13397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2024-05-14T07:39:00Z</dcterms:created>
  <dcterms:modified xsi:type="dcterms:W3CDTF">2024-05-14T07:40:00Z</dcterms:modified>
</cp:coreProperties>
</file>