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14" w:rsidRPr="00931C9D" w:rsidRDefault="00344FCB" w:rsidP="00FE7FEC">
      <w:pPr>
        <w:pStyle w:val="xxelementtoproof"/>
        <w:jc w:val="both"/>
        <w:rPr>
          <w:b/>
          <w:sz w:val="22"/>
          <w:szCs w:val="22"/>
        </w:rPr>
      </w:pPr>
      <w:bookmarkStart w:id="0" w:name="_GoBack"/>
      <w:proofErr w:type="spellStart"/>
      <w:r w:rsidRPr="00931C9D">
        <w:rPr>
          <w:b/>
          <w:sz w:val="22"/>
          <w:szCs w:val="22"/>
        </w:rPr>
        <w:t>Halan</w:t>
      </w:r>
      <w:proofErr w:type="spellEnd"/>
      <w:r w:rsidRPr="00931C9D">
        <w:rPr>
          <w:b/>
          <w:sz w:val="22"/>
          <w:szCs w:val="22"/>
        </w:rPr>
        <w:t xml:space="preserve"> Microfinance Bank is seeking suitable profiles for Manager Funds Management position. </w:t>
      </w:r>
    </w:p>
    <w:bookmarkEnd w:id="0"/>
    <w:p w:rsidR="00D26814" w:rsidRDefault="00D26814" w:rsidP="00FE7FEC">
      <w:pPr>
        <w:pStyle w:val="xxelementtoproof"/>
        <w:jc w:val="both"/>
        <w:rPr>
          <w:b/>
          <w:sz w:val="22"/>
          <w:szCs w:val="22"/>
        </w:rPr>
      </w:pPr>
    </w:p>
    <w:p w:rsidR="00D26814" w:rsidRDefault="00D26814" w:rsidP="00FE7FEC">
      <w:pPr>
        <w:pStyle w:val="xxelementtoproof"/>
        <w:jc w:val="both"/>
        <w:rPr>
          <w:b/>
          <w:sz w:val="22"/>
          <w:szCs w:val="22"/>
        </w:rPr>
      </w:pPr>
    </w:p>
    <w:p w:rsidR="00D26814" w:rsidRPr="00D26814" w:rsidRDefault="00D26814" w:rsidP="00FE7FEC">
      <w:pPr>
        <w:pStyle w:val="xxelementtoproof"/>
        <w:jc w:val="both"/>
        <w:rPr>
          <w:b/>
          <w:sz w:val="22"/>
          <w:szCs w:val="22"/>
        </w:rPr>
      </w:pPr>
      <w:r w:rsidRPr="00D26814">
        <w:rPr>
          <w:b/>
          <w:sz w:val="22"/>
          <w:szCs w:val="22"/>
        </w:rPr>
        <w:t>Purpose:</w:t>
      </w:r>
    </w:p>
    <w:p w:rsidR="00D26814" w:rsidRPr="00D26814" w:rsidRDefault="00344FCB" w:rsidP="00FE7FEC">
      <w:pPr>
        <w:pStyle w:val="xxelementtoproof"/>
        <w:jc w:val="both"/>
        <w:rPr>
          <w:sz w:val="22"/>
          <w:szCs w:val="22"/>
        </w:rPr>
      </w:pPr>
      <w:r>
        <w:rPr>
          <w:sz w:val="22"/>
          <w:szCs w:val="22"/>
        </w:rPr>
        <w:t>The incumbent will be responsible to</w:t>
      </w:r>
      <w:r w:rsidR="00D26814" w:rsidRPr="00D26814">
        <w:rPr>
          <w:sz w:val="22"/>
          <w:szCs w:val="22"/>
        </w:rPr>
        <w:t xml:space="preserve"> ensure optimal li</w:t>
      </w:r>
      <w:r>
        <w:rPr>
          <w:sz w:val="22"/>
          <w:szCs w:val="22"/>
        </w:rPr>
        <w:t>quidity, cost-effective funding</w:t>
      </w:r>
      <w:r w:rsidR="00D26814" w:rsidRPr="00D26814">
        <w:rPr>
          <w:sz w:val="22"/>
          <w:szCs w:val="22"/>
        </w:rPr>
        <w:t xml:space="preserve"> and effective management of the bank’s operations in compliance with regulatory requirements. The role is responsible for managing funds, mitigating </w:t>
      </w:r>
      <w:r>
        <w:rPr>
          <w:sz w:val="22"/>
          <w:szCs w:val="22"/>
        </w:rPr>
        <w:t>financial risks</w:t>
      </w:r>
      <w:r w:rsidR="00D26814" w:rsidRPr="00D26814">
        <w:rPr>
          <w:sz w:val="22"/>
          <w:szCs w:val="22"/>
        </w:rPr>
        <w:t xml:space="preserve"> and supporting the bank’s financial stability and growth.</w:t>
      </w:r>
    </w:p>
    <w:p w:rsidR="00D26814" w:rsidRDefault="00D26814" w:rsidP="00FE7FEC">
      <w:pPr>
        <w:pStyle w:val="xxelementtoproof"/>
        <w:jc w:val="both"/>
        <w:rPr>
          <w:sz w:val="22"/>
          <w:szCs w:val="22"/>
        </w:rPr>
      </w:pPr>
    </w:p>
    <w:p w:rsidR="00D26814" w:rsidRPr="00D26814" w:rsidRDefault="00D26814" w:rsidP="00FE7FEC">
      <w:pPr>
        <w:pStyle w:val="xxelementtoproof"/>
        <w:jc w:val="both"/>
        <w:rPr>
          <w:b/>
          <w:sz w:val="22"/>
          <w:szCs w:val="22"/>
        </w:rPr>
      </w:pPr>
      <w:r w:rsidRPr="00D26814">
        <w:rPr>
          <w:b/>
          <w:sz w:val="22"/>
          <w:szCs w:val="22"/>
        </w:rPr>
        <w:t>Key responsibilities</w:t>
      </w:r>
      <w:r w:rsidR="00344FCB">
        <w:rPr>
          <w:b/>
          <w:sz w:val="22"/>
          <w:szCs w:val="22"/>
        </w:rPr>
        <w:t>: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Monitor daily cash flows and ensure adequate liquidity to meet operational and regulatory requirements.</w:t>
      </w:r>
    </w:p>
    <w:p w:rsidR="00D26814" w:rsidRPr="00D26814" w:rsidRDefault="00344FCB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Develop, maintain</w:t>
      </w:r>
      <w:r w:rsidR="00D26814" w:rsidRPr="00D26814">
        <w:rPr>
          <w:rFonts w:eastAsia="Times New Roman"/>
          <w:color w:val="000000"/>
          <w:sz w:val="22"/>
          <w:szCs w:val="22"/>
        </w:rPr>
        <w:t xml:space="preserve"> and periodically review the Contingency Funding Plan (CFP).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Plan and arrange funding from diversified sources, including subordinated debt, commercial borrowings (local and inter</w:t>
      </w:r>
      <w:r w:rsidR="00344FCB">
        <w:rPr>
          <w:rFonts w:eastAsia="Times New Roman"/>
          <w:color w:val="000000"/>
          <w:sz w:val="22"/>
          <w:szCs w:val="22"/>
        </w:rPr>
        <w:t>national), syndicated financing</w:t>
      </w:r>
      <w:r w:rsidRPr="00D26814">
        <w:rPr>
          <w:rFonts w:eastAsia="Times New Roman"/>
          <w:color w:val="000000"/>
          <w:sz w:val="22"/>
          <w:szCs w:val="22"/>
        </w:rPr>
        <w:t xml:space="preserve"> and treasury lines.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Optimize the cost of funds and manage interest rate risk associated with funding activities.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Ensure compliance with regulatory ratios related to fund management in accordance with State Bank of Pakistan (SBP) guidelines.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Maintain and strengthen relationships with financial institutions for borrowing and investment purposes.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Invest surplus funds with financial instituti</w:t>
      </w:r>
      <w:r w:rsidR="00344FCB">
        <w:rPr>
          <w:rFonts w:eastAsia="Times New Roman"/>
          <w:color w:val="000000"/>
          <w:sz w:val="22"/>
          <w:szCs w:val="22"/>
        </w:rPr>
        <w:t>ons, ensuring safety, liquidity</w:t>
      </w:r>
      <w:r w:rsidRPr="00D26814">
        <w:rPr>
          <w:rFonts w:eastAsia="Times New Roman"/>
          <w:color w:val="000000"/>
          <w:sz w:val="22"/>
          <w:szCs w:val="22"/>
        </w:rPr>
        <w:t xml:space="preserve"> and optimal returns.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Monitor the investment portfolio and ensure adherence to internal policies and regulatory limits.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Prepare ALCO (Asset-Liability Committee) reports and ensure compliance with treasury risk limits set by the Board/ALCO.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Ensure timely and accurate regulatory reporting related to liq</w:t>
      </w:r>
      <w:r w:rsidR="00344FCB">
        <w:rPr>
          <w:rFonts w:eastAsia="Times New Roman"/>
          <w:color w:val="000000"/>
          <w:sz w:val="22"/>
          <w:szCs w:val="22"/>
        </w:rPr>
        <w:t>uidity, borrowings, investments</w:t>
      </w:r>
      <w:r w:rsidRPr="00D26814">
        <w:rPr>
          <w:rFonts w:eastAsia="Times New Roman"/>
          <w:color w:val="000000"/>
          <w:sz w:val="22"/>
          <w:szCs w:val="22"/>
        </w:rPr>
        <w:t xml:space="preserve"> and other treasury metrics.</w:t>
      </w:r>
    </w:p>
    <w:p w:rsidR="00D26814" w:rsidRPr="00D26814" w:rsidRDefault="00D26814" w:rsidP="00FE7FE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eastAsia="Times New Roman"/>
          <w:color w:val="000000"/>
          <w:sz w:val="22"/>
          <w:szCs w:val="22"/>
        </w:rPr>
      </w:pPr>
      <w:r w:rsidRPr="00D26814">
        <w:rPr>
          <w:rFonts w:eastAsia="Times New Roman"/>
          <w:color w:val="000000"/>
          <w:sz w:val="22"/>
          <w:szCs w:val="22"/>
        </w:rPr>
        <w:t>Oversee and enhance treasury management systems and tools.</w:t>
      </w:r>
    </w:p>
    <w:p w:rsidR="00D26814" w:rsidRPr="00D26814" w:rsidRDefault="00D26814" w:rsidP="00FE7FEC">
      <w:pPr>
        <w:pStyle w:val="xxelementtoproof"/>
        <w:jc w:val="both"/>
        <w:rPr>
          <w:sz w:val="22"/>
          <w:szCs w:val="22"/>
        </w:rPr>
      </w:pPr>
      <w:r w:rsidRPr="00D26814">
        <w:rPr>
          <w:b/>
          <w:bCs/>
          <w:sz w:val="22"/>
          <w:szCs w:val="22"/>
        </w:rPr>
        <w:t>Qua</w:t>
      </w:r>
      <w:r w:rsidR="00344FCB">
        <w:rPr>
          <w:b/>
          <w:bCs/>
          <w:sz w:val="22"/>
          <w:szCs w:val="22"/>
        </w:rPr>
        <w:t>lification</w:t>
      </w:r>
    </w:p>
    <w:p w:rsidR="00D26814" w:rsidRDefault="00344FCB" w:rsidP="00FE7FEC">
      <w:pPr>
        <w:pStyle w:val="xxelementtoproof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Minimum </w:t>
      </w:r>
      <w:r w:rsidR="00D26814" w:rsidRPr="00D26814">
        <w:rPr>
          <w:sz w:val="22"/>
          <w:szCs w:val="22"/>
        </w:rPr>
        <w:t xml:space="preserve">Bachelor's degree in finance, Accounting, or related field. Master’s degree or professional certification (e.g., CFA, CPA, ACT) </w:t>
      </w:r>
      <w:r>
        <w:rPr>
          <w:sz w:val="22"/>
          <w:szCs w:val="22"/>
        </w:rPr>
        <w:t xml:space="preserve">is </w:t>
      </w:r>
      <w:r w:rsidR="00D26814" w:rsidRPr="00D26814">
        <w:rPr>
          <w:sz w:val="22"/>
          <w:szCs w:val="22"/>
        </w:rPr>
        <w:t>preferred.</w:t>
      </w:r>
    </w:p>
    <w:p w:rsidR="00931C9D" w:rsidRDefault="00931C9D" w:rsidP="00344FCB">
      <w:pPr>
        <w:pStyle w:val="xxelementtoproof"/>
        <w:jc w:val="both"/>
        <w:rPr>
          <w:b/>
          <w:sz w:val="22"/>
          <w:szCs w:val="22"/>
        </w:rPr>
      </w:pPr>
    </w:p>
    <w:p w:rsidR="00344FCB" w:rsidRPr="00D26814" w:rsidRDefault="00344FCB" w:rsidP="00344FCB">
      <w:pPr>
        <w:pStyle w:val="xxelementtoproof"/>
        <w:jc w:val="both"/>
        <w:rPr>
          <w:sz w:val="22"/>
          <w:szCs w:val="22"/>
        </w:rPr>
      </w:pPr>
      <w:r w:rsidRPr="00344FCB">
        <w:rPr>
          <w:b/>
          <w:sz w:val="22"/>
          <w:szCs w:val="22"/>
        </w:rPr>
        <w:t>Experience</w:t>
      </w:r>
    </w:p>
    <w:p w:rsidR="00D26814" w:rsidRPr="00D26814" w:rsidRDefault="00D26814" w:rsidP="00FE7FEC">
      <w:pPr>
        <w:pStyle w:val="xxelementtoproof"/>
        <w:numPr>
          <w:ilvl w:val="0"/>
          <w:numId w:val="1"/>
        </w:numPr>
        <w:jc w:val="both"/>
        <w:rPr>
          <w:sz w:val="22"/>
          <w:szCs w:val="22"/>
        </w:rPr>
      </w:pPr>
      <w:r w:rsidRPr="00D26814">
        <w:rPr>
          <w:sz w:val="22"/>
          <w:szCs w:val="22"/>
        </w:rPr>
        <w:t>3 to 5 years of experience in treasury, funds management, or ALM within a bank, microfinance bank, or financial institution.</w:t>
      </w:r>
    </w:p>
    <w:p w:rsidR="00D26814" w:rsidRPr="00D26814" w:rsidRDefault="00D26814" w:rsidP="00FE7FEC">
      <w:pPr>
        <w:pStyle w:val="xxelementtoproof"/>
        <w:numPr>
          <w:ilvl w:val="0"/>
          <w:numId w:val="1"/>
        </w:numPr>
        <w:jc w:val="both"/>
        <w:rPr>
          <w:sz w:val="22"/>
          <w:szCs w:val="22"/>
        </w:rPr>
      </w:pPr>
      <w:r w:rsidRPr="00D26814">
        <w:rPr>
          <w:sz w:val="22"/>
          <w:szCs w:val="22"/>
        </w:rPr>
        <w:t>In-depth knowledge of SBP regulations, money market operations, and financial instruments.</w:t>
      </w:r>
    </w:p>
    <w:p w:rsidR="00D26814" w:rsidRDefault="00D26814" w:rsidP="00FE7FEC">
      <w:pPr>
        <w:pStyle w:val="xxelementtoproof"/>
        <w:numPr>
          <w:ilvl w:val="0"/>
          <w:numId w:val="1"/>
        </w:numPr>
        <w:jc w:val="both"/>
        <w:rPr>
          <w:sz w:val="22"/>
          <w:szCs w:val="22"/>
        </w:rPr>
      </w:pPr>
      <w:r w:rsidRPr="00D26814">
        <w:rPr>
          <w:sz w:val="22"/>
          <w:szCs w:val="22"/>
        </w:rPr>
        <w:t>Proficiency in treasury management systems and MS Excel.</w:t>
      </w:r>
    </w:p>
    <w:p w:rsidR="00931C9D" w:rsidRDefault="00931C9D" w:rsidP="00344FCB">
      <w:pPr>
        <w:pStyle w:val="xxelementtoproof"/>
        <w:jc w:val="both"/>
        <w:rPr>
          <w:b/>
          <w:sz w:val="22"/>
          <w:szCs w:val="22"/>
        </w:rPr>
      </w:pPr>
    </w:p>
    <w:p w:rsidR="00344FCB" w:rsidRDefault="00344FCB" w:rsidP="00344FCB">
      <w:pPr>
        <w:pStyle w:val="xxelementtoproof"/>
        <w:jc w:val="both"/>
        <w:rPr>
          <w:sz w:val="22"/>
          <w:szCs w:val="22"/>
        </w:rPr>
      </w:pPr>
      <w:r w:rsidRPr="00931C9D">
        <w:rPr>
          <w:b/>
          <w:sz w:val="22"/>
          <w:szCs w:val="22"/>
        </w:rPr>
        <w:t>Application</w:t>
      </w:r>
      <w:r>
        <w:rPr>
          <w:sz w:val="22"/>
          <w:szCs w:val="22"/>
        </w:rPr>
        <w:t xml:space="preserve"> </w:t>
      </w:r>
      <w:r w:rsidRPr="00931C9D">
        <w:rPr>
          <w:b/>
          <w:sz w:val="22"/>
          <w:szCs w:val="22"/>
        </w:rPr>
        <w:t>Submission</w:t>
      </w:r>
    </w:p>
    <w:p w:rsidR="00344FCB" w:rsidRPr="00D26814" w:rsidRDefault="00344FCB" w:rsidP="00344FCB">
      <w:pPr>
        <w:pStyle w:val="xxelementtoproo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Interested candidates can share their resumes directly at </w:t>
      </w:r>
      <w:hyperlink r:id="rId5" w:history="1">
        <w:r w:rsidRPr="00C5576A">
          <w:rPr>
            <w:rStyle w:val="Hyperlink"/>
            <w:sz w:val="22"/>
            <w:szCs w:val="22"/>
          </w:rPr>
          <w:t>career@halan.com.pk</w:t>
        </w:r>
      </w:hyperlink>
      <w:r w:rsidR="00931C9D">
        <w:rPr>
          <w:sz w:val="22"/>
          <w:szCs w:val="22"/>
        </w:rPr>
        <w:t xml:space="preserve"> mentioning the position in the subject line.</w:t>
      </w:r>
      <w:r>
        <w:rPr>
          <w:sz w:val="22"/>
          <w:szCs w:val="22"/>
        </w:rPr>
        <w:t xml:space="preserve"> </w:t>
      </w:r>
    </w:p>
    <w:p w:rsidR="00D26814" w:rsidRPr="00D26814" w:rsidRDefault="00D26814" w:rsidP="00FE7FEC">
      <w:pPr>
        <w:pStyle w:val="xxelementtoproof"/>
        <w:ind w:left="360"/>
        <w:jc w:val="both"/>
        <w:rPr>
          <w:sz w:val="22"/>
          <w:szCs w:val="22"/>
        </w:rPr>
      </w:pPr>
    </w:p>
    <w:sectPr w:rsidR="00D26814" w:rsidRPr="00D26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486C"/>
    <w:multiLevelType w:val="multilevel"/>
    <w:tmpl w:val="38A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14"/>
    <w:rsid w:val="000D5040"/>
    <w:rsid w:val="00344FCB"/>
    <w:rsid w:val="00931C9D"/>
    <w:rsid w:val="00D26814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7658"/>
  <w15:chartTrackingRefBased/>
  <w15:docId w15:val="{16244249-F427-4648-819C-3CC9BF55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elementtoproof">
    <w:name w:val="x_x_elementtoproof"/>
    <w:basedOn w:val="Normal"/>
    <w:rsid w:val="00D26814"/>
  </w:style>
  <w:style w:type="character" w:styleId="Hyperlink">
    <w:name w:val="Hyperlink"/>
    <w:basedOn w:val="DefaultParagraphFont"/>
    <w:uiPriority w:val="99"/>
    <w:unhideWhenUsed/>
    <w:rsid w:val="00344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@halan.com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Arusha Riaz Kamlani</dc:creator>
  <cp:keywords/>
  <dc:description/>
  <cp:lastModifiedBy>Arusha Riaz Kamlani</cp:lastModifiedBy>
  <cp:revision>3</cp:revision>
  <dcterms:created xsi:type="dcterms:W3CDTF">2026-05-12T07:12:00Z</dcterms:created>
  <dcterms:modified xsi:type="dcterms:W3CDTF">2026-07-07T04:39:00Z</dcterms:modified>
</cp:coreProperties>
</file>