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608" w:rsidRPr="00365608" w:rsidRDefault="00365608" w:rsidP="00365608">
      <w:pPr>
        <w:spacing w:after="0" w:line="240" w:lineRule="auto"/>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b/>
          <w:bCs/>
          <w:kern w:val="0"/>
          <w:sz w:val="21"/>
          <w:szCs w:val="21"/>
          <w:bdr w:val="none" w:sz="0" w:space="0" w:color="auto" w:frame="1"/>
          <w:lang w:eastAsia="en-GB"/>
          <w14:ligatures w14:val="none"/>
        </w:rPr>
        <w:t>Senior – Valuations - Complex Securities</w:t>
      </w:r>
      <w:r w:rsidRPr="00365608">
        <w:rPr>
          <w:rFonts w:ascii="Segoe UI" w:eastAsia="Times New Roman" w:hAnsi="Segoe UI" w:cs="Segoe UI"/>
          <w:b/>
          <w:bCs/>
          <w:kern w:val="0"/>
          <w:sz w:val="21"/>
          <w:szCs w:val="21"/>
          <w:bdr w:val="none" w:sz="0" w:space="0" w:color="auto" w:frame="1"/>
          <w:lang w:eastAsia="en-GB"/>
          <w14:ligatures w14:val="none"/>
        </w:rPr>
        <w:br/>
      </w:r>
      <w:r w:rsidRPr="00365608">
        <w:rPr>
          <w:rFonts w:ascii="Segoe UI" w:eastAsia="Times New Roman" w:hAnsi="Segoe UI" w:cs="Segoe UI"/>
          <w:b/>
          <w:bCs/>
          <w:kern w:val="0"/>
          <w:sz w:val="21"/>
          <w:szCs w:val="21"/>
          <w:bdr w:val="none" w:sz="0" w:space="0" w:color="auto" w:frame="1"/>
          <w:lang w:eastAsia="en-GB"/>
          <w14:ligatures w14:val="none"/>
        </w:rPr>
        <w:br/>
      </w:r>
      <w:r w:rsidRPr="00365608">
        <w:rPr>
          <w:rFonts w:ascii="Segoe UI" w:eastAsia="Times New Roman" w:hAnsi="Segoe UI" w:cs="Segoe UI"/>
          <w:kern w:val="0"/>
          <w:sz w:val="21"/>
          <w:szCs w:val="21"/>
          <w:shd w:val="clear" w:color="auto" w:fill="FFFFFF"/>
          <w:lang w:eastAsia="en-GB"/>
          <w14:ligatures w14:val="none"/>
        </w:rPr>
        <w:t>EY is seeking a Valuation Specialist to join its Assurance Valuation team. This role involves reviewing and evaluating the valuation of complex financial instruments, including derivatives, for audit purposes. It presents an opportunity to grow within a leading firm through diverse engagements, mentoring, and continuous learning.</w:t>
      </w:r>
      <w:r w:rsidRPr="00365608">
        <w:rPr>
          <w:rFonts w:ascii="Segoe UI" w:eastAsia="Times New Roman" w:hAnsi="Segoe UI" w:cs="Segoe UI"/>
          <w:kern w:val="0"/>
          <w:sz w:val="21"/>
          <w:szCs w:val="21"/>
          <w:bdr w:val="none" w:sz="0" w:space="0" w:color="auto" w:frame="1"/>
          <w:lang w:eastAsia="en-GB"/>
          <w14:ligatures w14:val="none"/>
        </w:rPr>
        <w:br/>
      </w:r>
      <w:r w:rsidRPr="00365608">
        <w:rPr>
          <w:rFonts w:ascii="Segoe UI" w:eastAsia="Times New Roman" w:hAnsi="Segoe UI" w:cs="Segoe UI"/>
          <w:kern w:val="0"/>
          <w:sz w:val="21"/>
          <w:szCs w:val="21"/>
          <w:bdr w:val="none" w:sz="0" w:space="0" w:color="auto" w:frame="1"/>
          <w:lang w:eastAsia="en-GB"/>
          <w14:ligatures w14:val="none"/>
        </w:rPr>
        <w:br/>
      </w:r>
      <w:r w:rsidRPr="00365608">
        <w:rPr>
          <w:rFonts w:ascii="Segoe UI" w:eastAsia="Times New Roman" w:hAnsi="Segoe UI" w:cs="Segoe UI"/>
          <w:b/>
          <w:bCs/>
          <w:kern w:val="0"/>
          <w:sz w:val="21"/>
          <w:szCs w:val="21"/>
          <w:bdr w:val="none" w:sz="0" w:space="0" w:color="auto" w:frame="1"/>
          <w:lang w:eastAsia="en-GB"/>
          <w14:ligatures w14:val="none"/>
        </w:rPr>
        <w:t>Key Responsibilities</w:t>
      </w:r>
      <w:r w:rsidRPr="00365608">
        <w:rPr>
          <w:rFonts w:ascii="Segoe UI" w:eastAsia="Times New Roman" w:hAnsi="Segoe UI" w:cs="Segoe UI"/>
          <w:b/>
          <w:bCs/>
          <w:kern w:val="0"/>
          <w:sz w:val="21"/>
          <w:szCs w:val="21"/>
          <w:bdr w:val="none" w:sz="0" w:space="0" w:color="auto" w:frame="1"/>
          <w:lang w:eastAsia="en-GB"/>
          <w14:ligatures w14:val="none"/>
        </w:rPr>
        <w:br/>
      </w:r>
      <w:r w:rsidRPr="00365608">
        <w:rPr>
          <w:rFonts w:ascii="Segoe UI" w:eastAsia="Times New Roman" w:hAnsi="Segoe UI" w:cs="Segoe UI"/>
          <w:b/>
          <w:bCs/>
          <w:kern w:val="0"/>
          <w:sz w:val="21"/>
          <w:szCs w:val="21"/>
          <w:bdr w:val="none" w:sz="0" w:space="0" w:color="auto" w:frame="1"/>
          <w:lang w:eastAsia="en-GB"/>
          <w14:ligatures w14:val="none"/>
        </w:rPr>
        <w:br/>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Lead valuation engagements for derivatives on interest rates, foreign exchange, equity, credit and commodity products such as interest rate swaps, cross currency swaps, forwards, convertibles etc.</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Provide valuation for fixed income securities such as treasury securities, Sukuk bonds, corporate loans and equity securities.</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Provide expertise in valuing various structured financial products such as callable &amp; puttable, convertible bonds, equity, credit and FX-linked notes and securitization products such as RMBS, CMBS, CLO’s etc.</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Assess and document hedge effectiveness for different types of hedges, including fair value and cashflow hedges.</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Review and evaluate the valuation of complex financial instruments, including:</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Options, warrants, and share-based payments</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Equity Allocation in complex capital structures</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Performance Stock Unit (PSUs) awards</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Convertible and Prepayable Debt securities</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Contingent consideration/ Earnouts arrangements</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Simple Agreement for Future Equity (SAFE) notes</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Incremental Borrowing Rate (IBR)</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Derivative Strategies and Structured Derivatives</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Other derivatives, including Employee Stock Options (ESOPs)</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Develop and maintain complex financial pricing models using techniques such as Monte Carlo simulation, Black-Derman-Toy model, lattice techniques, and finite difference methods.</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Ensure compliance with accounting standards, including IFRS 9 and IFRS 13.</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Utilize advanced tools like Python, R, @Risk, VBA, and data sources like Bloomberg, Refinitiv, and S&amp;P Capital IQ.</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Communicate findings and recommendations effectively to senior management and clients.</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Serve as member on engagement where responsibilities include detailed execution of valuation and modeling projects and documentation of modeling methodologies and results.</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Establishing strong professional relationships with internal and external stakeholders</w:t>
      </w:r>
    </w:p>
    <w:p w:rsidR="00365608" w:rsidRPr="00365608" w:rsidRDefault="00365608" w:rsidP="00365608">
      <w:pPr>
        <w:numPr>
          <w:ilvl w:val="0"/>
          <w:numId w:val="1"/>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Actively participate in process improvement to optimize workflows and enhance valuation efficiency.</w:t>
      </w:r>
      <w:r w:rsidRPr="00365608">
        <w:rPr>
          <w:rFonts w:ascii="Segoe UI" w:eastAsia="Times New Roman" w:hAnsi="Segoe UI" w:cs="Segoe UI"/>
          <w:kern w:val="0"/>
          <w:sz w:val="21"/>
          <w:szCs w:val="21"/>
          <w:bdr w:val="none" w:sz="0" w:space="0" w:color="auto" w:frame="1"/>
          <w:lang w:eastAsia="en-GB"/>
          <w14:ligatures w14:val="none"/>
        </w:rPr>
        <w:br/>
      </w:r>
      <w:r w:rsidRPr="00365608">
        <w:rPr>
          <w:rFonts w:ascii="Segoe UI" w:eastAsia="Times New Roman" w:hAnsi="Segoe UI" w:cs="Segoe UI"/>
          <w:kern w:val="0"/>
          <w:sz w:val="21"/>
          <w:szCs w:val="21"/>
          <w:bdr w:val="none" w:sz="0" w:space="0" w:color="auto" w:frame="1"/>
          <w:lang w:eastAsia="en-GB"/>
          <w14:ligatures w14:val="none"/>
        </w:rPr>
        <w:br/>
      </w:r>
    </w:p>
    <w:p w:rsidR="00365608" w:rsidRPr="00365608" w:rsidRDefault="00365608" w:rsidP="00365608">
      <w:pPr>
        <w:spacing w:after="0" w:line="240" w:lineRule="auto"/>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b/>
          <w:bCs/>
          <w:kern w:val="0"/>
          <w:sz w:val="21"/>
          <w:szCs w:val="21"/>
          <w:bdr w:val="none" w:sz="0" w:space="0" w:color="auto" w:frame="1"/>
          <w:lang w:eastAsia="en-GB"/>
          <w14:ligatures w14:val="none"/>
        </w:rPr>
        <w:lastRenderedPageBreak/>
        <w:t>Skills And Attributes For Success</w:t>
      </w:r>
      <w:r w:rsidRPr="00365608">
        <w:rPr>
          <w:rFonts w:ascii="Segoe UI" w:eastAsia="Times New Roman" w:hAnsi="Segoe UI" w:cs="Segoe UI"/>
          <w:b/>
          <w:bCs/>
          <w:kern w:val="0"/>
          <w:sz w:val="21"/>
          <w:szCs w:val="21"/>
          <w:bdr w:val="none" w:sz="0" w:space="0" w:color="auto" w:frame="1"/>
          <w:lang w:eastAsia="en-GB"/>
          <w14:ligatures w14:val="none"/>
        </w:rPr>
        <w:br/>
      </w:r>
      <w:r w:rsidRPr="00365608">
        <w:rPr>
          <w:rFonts w:ascii="Segoe UI" w:eastAsia="Times New Roman" w:hAnsi="Segoe UI" w:cs="Segoe UI"/>
          <w:b/>
          <w:bCs/>
          <w:kern w:val="0"/>
          <w:sz w:val="21"/>
          <w:szCs w:val="21"/>
          <w:bdr w:val="none" w:sz="0" w:space="0" w:color="auto" w:frame="1"/>
          <w:lang w:eastAsia="en-GB"/>
          <w14:ligatures w14:val="none"/>
        </w:rPr>
        <w:br/>
      </w:r>
    </w:p>
    <w:p w:rsidR="00365608" w:rsidRPr="00365608" w:rsidRDefault="00365608" w:rsidP="00365608">
      <w:pPr>
        <w:numPr>
          <w:ilvl w:val="0"/>
          <w:numId w:val="2"/>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Technical Skills:</w:t>
      </w:r>
    </w:p>
    <w:p w:rsidR="00365608" w:rsidRPr="00365608" w:rsidRDefault="00365608" w:rsidP="00365608">
      <w:pPr>
        <w:numPr>
          <w:ilvl w:val="0"/>
          <w:numId w:val="2"/>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Proficient in financial modeling and valuation techniques, including DCF, and Option Pricing Models.</w:t>
      </w:r>
    </w:p>
    <w:p w:rsidR="00365608" w:rsidRPr="00365608" w:rsidRDefault="00365608" w:rsidP="00365608">
      <w:pPr>
        <w:numPr>
          <w:ilvl w:val="0"/>
          <w:numId w:val="2"/>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Strong understanding of derivatives and hedge transactions.</w:t>
      </w:r>
    </w:p>
    <w:p w:rsidR="00365608" w:rsidRPr="00365608" w:rsidRDefault="00365608" w:rsidP="00365608">
      <w:pPr>
        <w:numPr>
          <w:ilvl w:val="0"/>
          <w:numId w:val="2"/>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Knowledge of accounting standards like IFRS 9 and IFRS 13.</w:t>
      </w:r>
    </w:p>
    <w:p w:rsidR="00365608" w:rsidRPr="00365608" w:rsidRDefault="00365608" w:rsidP="00365608">
      <w:pPr>
        <w:numPr>
          <w:ilvl w:val="0"/>
          <w:numId w:val="2"/>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Proficiency in programming languages such as Python and R.</w:t>
      </w:r>
    </w:p>
    <w:p w:rsidR="00365608" w:rsidRPr="00365608" w:rsidRDefault="00365608" w:rsidP="00365608">
      <w:pPr>
        <w:numPr>
          <w:ilvl w:val="0"/>
          <w:numId w:val="2"/>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Experience with data extraction and exploratory data analysis using Bloomberg, Refinitiv, and S&amp;P Capital IQ.</w:t>
      </w:r>
    </w:p>
    <w:p w:rsidR="00365608" w:rsidRPr="00365608" w:rsidRDefault="00365608" w:rsidP="00365608">
      <w:pPr>
        <w:numPr>
          <w:ilvl w:val="0"/>
          <w:numId w:val="2"/>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Soft Skills:</w:t>
      </w:r>
    </w:p>
    <w:p w:rsidR="00365608" w:rsidRPr="00365608" w:rsidRDefault="00365608" w:rsidP="00365608">
      <w:pPr>
        <w:numPr>
          <w:ilvl w:val="0"/>
          <w:numId w:val="2"/>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Excellent written and verbal communication skills and competence in explaining complex financial concepts to non-technical stakeholders</w:t>
      </w:r>
    </w:p>
    <w:p w:rsidR="00365608" w:rsidRPr="00365608" w:rsidRDefault="00365608" w:rsidP="00365608">
      <w:pPr>
        <w:numPr>
          <w:ilvl w:val="0"/>
          <w:numId w:val="2"/>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Ability to mentor junior staff and enhance model creation.</w:t>
      </w:r>
    </w:p>
    <w:p w:rsidR="00365608" w:rsidRPr="00365608" w:rsidRDefault="00365608" w:rsidP="00365608">
      <w:pPr>
        <w:numPr>
          <w:ilvl w:val="0"/>
          <w:numId w:val="2"/>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Strong analytical and problem-solving capabilities.</w:t>
      </w:r>
    </w:p>
    <w:p w:rsidR="00365608" w:rsidRPr="00365608" w:rsidRDefault="00365608" w:rsidP="00365608">
      <w:pPr>
        <w:numPr>
          <w:ilvl w:val="0"/>
          <w:numId w:val="2"/>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Ability to work collaboratively with cross-functional teams.</w:t>
      </w:r>
      <w:r w:rsidRPr="00365608">
        <w:rPr>
          <w:rFonts w:ascii="Segoe UI" w:eastAsia="Times New Roman" w:hAnsi="Segoe UI" w:cs="Segoe UI"/>
          <w:kern w:val="0"/>
          <w:sz w:val="21"/>
          <w:szCs w:val="21"/>
          <w:bdr w:val="none" w:sz="0" w:space="0" w:color="auto" w:frame="1"/>
          <w:lang w:eastAsia="en-GB"/>
          <w14:ligatures w14:val="none"/>
        </w:rPr>
        <w:br/>
      </w:r>
      <w:r w:rsidRPr="00365608">
        <w:rPr>
          <w:rFonts w:ascii="Segoe UI" w:eastAsia="Times New Roman" w:hAnsi="Segoe UI" w:cs="Segoe UI"/>
          <w:kern w:val="0"/>
          <w:sz w:val="21"/>
          <w:szCs w:val="21"/>
          <w:bdr w:val="none" w:sz="0" w:space="0" w:color="auto" w:frame="1"/>
          <w:lang w:eastAsia="en-GB"/>
          <w14:ligatures w14:val="none"/>
        </w:rPr>
        <w:br/>
      </w:r>
    </w:p>
    <w:p w:rsidR="00365608" w:rsidRPr="00365608" w:rsidRDefault="00365608" w:rsidP="00365608">
      <w:pPr>
        <w:spacing w:after="0" w:line="240" w:lineRule="auto"/>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b/>
          <w:bCs/>
          <w:kern w:val="0"/>
          <w:sz w:val="21"/>
          <w:szCs w:val="21"/>
          <w:bdr w:val="none" w:sz="0" w:space="0" w:color="auto" w:frame="1"/>
          <w:lang w:eastAsia="en-GB"/>
          <w14:ligatures w14:val="none"/>
        </w:rPr>
        <w:t>Qualifications</w:t>
      </w:r>
      <w:r w:rsidRPr="00365608">
        <w:rPr>
          <w:rFonts w:ascii="Segoe UI" w:eastAsia="Times New Roman" w:hAnsi="Segoe UI" w:cs="Segoe UI"/>
          <w:b/>
          <w:bCs/>
          <w:kern w:val="0"/>
          <w:sz w:val="21"/>
          <w:szCs w:val="21"/>
          <w:bdr w:val="none" w:sz="0" w:space="0" w:color="auto" w:frame="1"/>
          <w:lang w:eastAsia="en-GB"/>
          <w14:ligatures w14:val="none"/>
        </w:rPr>
        <w:br/>
      </w:r>
      <w:r w:rsidRPr="00365608">
        <w:rPr>
          <w:rFonts w:ascii="Segoe UI" w:eastAsia="Times New Roman" w:hAnsi="Segoe UI" w:cs="Segoe UI"/>
          <w:b/>
          <w:bCs/>
          <w:kern w:val="0"/>
          <w:sz w:val="21"/>
          <w:szCs w:val="21"/>
          <w:bdr w:val="none" w:sz="0" w:space="0" w:color="auto" w:frame="1"/>
          <w:lang w:eastAsia="en-GB"/>
          <w14:ligatures w14:val="none"/>
        </w:rPr>
        <w:br/>
      </w:r>
    </w:p>
    <w:p w:rsidR="00365608" w:rsidRPr="00365608" w:rsidRDefault="00365608" w:rsidP="00365608">
      <w:pPr>
        <w:numPr>
          <w:ilvl w:val="0"/>
          <w:numId w:val="3"/>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A postgraduate degree in Finance, Economics, Accounting (CA), or Business with 3+ years of relevant experience. Background in mathematical finance at the level of a master’s level degree in Mathematical Finance, Mathematics of Finance, Financial Engineering or Quantitative Finance is a strong plus.</w:t>
      </w:r>
    </w:p>
    <w:p w:rsidR="00365608" w:rsidRPr="00365608" w:rsidRDefault="00365608" w:rsidP="00365608">
      <w:pPr>
        <w:numPr>
          <w:ilvl w:val="0"/>
          <w:numId w:val="3"/>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Direct experience in valuation techniques and methodologies in a complex securities valuation practice, advisory services or investment banking firm.</w:t>
      </w:r>
    </w:p>
    <w:p w:rsidR="00365608" w:rsidRPr="00365608" w:rsidRDefault="00365608" w:rsidP="00365608">
      <w:pPr>
        <w:numPr>
          <w:ilvl w:val="0"/>
          <w:numId w:val="3"/>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Experience in financial modeling, with focus in building models from scratch in MS Excel and Python.</w:t>
      </w:r>
    </w:p>
    <w:p w:rsidR="00365608" w:rsidRPr="00365608" w:rsidRDefault="00365608" w:rsidP="00365608">
      <w:pPr>
        <w:numPr>
          <w:ilvl w:val="0"/>
          <w:numId w:val="3"/>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Candidates with Certified FRM / CFA / CQF qualification are preferred</w:t>
      </w:r>
      <w:r w:rsidRPr="00365608">
        <w:rPr>
          <w:rFonts w:ascii="Segoe UI" w:eastAsia="Times New Roman" w:hAnsi="Segoe UI" w:cs="Segoe UI"/>
          <w:kern w:val="0"/>
          <w:sz w:val="21"/>
          <w:szCs w:val="21"/>
          <w:bdr w:val="none" w:sz="0" w:space="0" w:color="auto" w:frame="1"/>
          <w:lang w:eastAsia="en-GB"/>
          <w14:ligatures w14:val="none"/>
        </w:rPr>
        <w:br/>
      </w:r>
    </w:p>
    <w:p w:rsidR="00365608" w:rsidRPr="00365608" w:rsidRDefault="00365608" w:rsidP="00365608">
      <w:pPr>
        <w:spacing w:after="0" w:line="240" w:lineRule="auto"/>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b/>
          <w:bCs/>
          <w:kern w:val="0"/>
          <w:sz w:val="21"/>
          <w:szCs w:val="21"/>
          <w:bdr w:val="none" w:sz="0" w:space="0" w:color="auto" w:frame="1"/>
          <w:lang w:eastAsia="en-GB"/>
          <w14:ligatures w14:val="none"/>
        </w:rPr>
        <w:t>What We Offer</w:t>
      </w:r>
      <w:r w:rsidRPr="00365608">
        <w:rPr>
          <w:rFonts w:ascii="Segoe UI" w:eastAsia="Times New Roman" w:hAnsi="Segoe UI" w:cs="Segoe UI"/>
          <w:b/>
          <w:bCs/>
          <w:kern w:val="0"/>
          <w:sz w:val="21"/>
          <w:szCs w:val="21"/>
          <w:bdr w:val="none" w:sz="0" w:space="0" w:color="auto" w:frame="1"/>
          <w:lang w:eastAsia="en-GB"/>
          <w14:ligatures w14:val="none"/>
        </w:rPr>
        <w:br/>
      </w:r>
    </w:p>
    <w:p w:rsidR="00365608" w:rsidRPr="00365608" w:rsidRDefault="00365608" w:rsidP="00365608">
      <w:pPr>
        <w:numPr>
          <w:ilvl w:val="0"/>
          <w:numId w:val="4"/>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Continuous learning opportunities to develop skills for future challenges.</w:t>
      </w:r>
    </w:p>
    <w:p w:rsidR="00365608" w:rsidRPr="00365608" w:rsidRDefault="00365608" w:rsidP="00365608">
      <w:pPr>
        <w:numPr>
          <w:ilvl w:val="0"/>
          <w:numId w:val="4"/>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Flexibility and tools to make a meaningful impact.</w:t>
      </w:r>
    </w:p>
    <w:p w:rsidR="00365608" w:rsidRPr="00365608" w:rsidRDefault="00365608" w:rsidP="00365608">
      <w:pPr>
        <w:numPr>
          <w:ilvl w:val="0"/>
          <w:numId w:val="4"/>
        </w:numPr>
        <w:spacing w:beforeAutospacing="1" w:after="0" w:afterAutospacing="1" w:line="240" w:lineRule="auto"/>
        <w:textAlignment w:val="baseline"/>
        <w:rPr>
          <w:rFonts w:ascii="Segoe UI" w:eastAsia="Times New Roman" w:hAnsi="Segoe UI" w:cs="Segoe UI"/>
          <w:kern w:val="0"/>
          <w:sz w:val="21"/>
          <w:szCs w:val="21"/>
          <w:bdr w:val="none" w:sz="0" w:space="0" w:color="auto" w:frame="1"/>
          <w:lang w:eastAsia="en-GB"/>
          <w14:ligatures w14:val="none"/>
        </w:rPr>
      </w:pPr>
      <w:r w:rsidRPr="00365608">
        <w:rPr>
          <w:rFonts w:ascii="Segoe UI" w:eastAsia="Times New Roman" w:hAnsi="Segoe UI" w:cs="Segoe UI"/>
          <w:kern w:val="0"/>
          <w:sz w:val="21"/>
          <w:szCs w:val="21"/>
          <w:bdr w:val="none" w:sz="0" w:space="0" w:color="auto" w:frame="1"/>
          <w:lang w:eastAsia="en-GB"/>
          <w14:ligatures w14:val="none"/>
        </w:rPr>
        <w:t xml:space="preserve"> Insights and coaching for transformative leadership.</w:t>
      </w:r>
    </w:p>
    <w:p w:rsidR="00365608" w:rsidRPr="00365608" w:rsidRDefault="00365608" w:rsidP="00365608">
      <w:pPr>
        <w:numPr>
          <w:ilvl w:val="0"/>
          <w:numId w:val="4"/>
        </w:numPr>
        <w:spacing w:beforeAutospacing="1" w:after="0" w:afterAutospacing="1" w:line="240" w:lineRule="auto"/>
        <w:textAlignment w:val="baseline"/>
      </w:pPr>
      <w:r w:rsidRPr="00365608">
        <w:rPr>
          <w:rFonts w:ascii="Segoe UI" w:eastAsia="Times New Roman" w:hAnsi="Segoe UI" w:cs="Segoe UI"/>
          <w:kern w:val="0"/>
          <w:sz w:val="21"/>
          <w:szCs w:val="21"/>
          <w:bdr w:val="none" w:sz="0" w:space="0" w:color="auto" w:frame="1"/>
          <w:lang w:eastAsia="en-GB"/>
          <w14:ligatures w14:val="none"/>
        </w:rPr>
        <w:t xml:space="preserve"> A diverse and inclusive culture that empowers individuals.</w:t>
      </w:r>
    </w:p>
    <w:p w:rsidR="00365608" w:rsidRDefault="00365608" w:rsidP="00365608">
      <w:pPr>
        <w:spacing w:beforeAutospacing="1" w:after="0" w:afterAutospacing="1" w:line="240" w:lineRule="auto"/>
        <w:textAlignment w:val="baseline"/>
      </w:pPr>
    </w:p>
    <w:p w:rsidR="00365608" w:rsidRPr="00365608" w:rsidRDefault="00365608" w:rsidP="00365608">
      <w:pPr>
        <w:spacing w:beforeAutospacing="1" w:after="0" w:afterAutospacing="1" w:line="240" w:lineRule="auto"/>
        <w:textAlignment w:val="baseline"/>
        <w:rPr>
          <w:color w:val="000000" w:themeColor="text1"/>
        </w:rPr>
      </w:pPr>
      <w:r w:rsidRPr="00365608">
        <w:rPr>
          <w:rFonts w:ascii="Segoe UI" w:eastAsia="Times New Roman" w:hAnsi="Segoe UI" w:cs="Segoe UI"/>
          <w:b/>
          <w:bCs/>
          <w:color w:val="000000" w:themeColor="text1"/>
          <w:kern w:val="0"/>
          <w:sz w:val="21"/>
          <w:szCs w:val="21"/>
          <w:bdr w:val="none" w:sz="0" w:space="0" w:color="auto" w:frame="1"/>
          <w:lang w:eastAsia="en-GB"/>
          <w14:ligatures w14:val="none"/>
        </w:rPr>
        <w:t xml:space="preserve">Apply </w:t>
      </w:r>
      <w:hyperlink r:id="rId5" w:history="1">
        <w:r w:rsidRPr="00365608">
          <w:rPr>
            <w:rStyle w:val="Hyperlink"/>
            <w:color w:val="000000" w:themeColor="text1"/>
          </w:rPr>
          <w:t>here</w:t>
        </w:r>
      </w:hyperlink>
    </w:p>
    <w:sectPr w:rsidR="00365608" w:rsidRPr="003656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4A39"/>
    <w:multiLevelType w:val="multilevel"/>
    <w:tmpl w:val="594E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462595"/>
    <w:multiLevelType w:val="multilevel"/>
    <w:tmpl w:val="FA24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4408A5"/>
    <w:multiLevelType w:val="multilevel"/>
    <w:tmpl w:val="A5AE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706C9D"/>
    <w:multiLevelType w:val="multilevel"/>
    <w:tmpl w:val="480C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2190085">
    <w:abstractNumId w:val="1"/>
  </w:num>
  <w:num w:numId="2" w16cid:durableId="2073262070">
    <w:abstractNumId w:val="0"/>
  </w:num>
  <w:num w:numId="3" w16cid:durableId="1976906978">
    <w:abstractNumId w:val="3"/>
  </w:num>
  <w:num w:numId="4" w16cid:durableId="1299264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08"/>
    <w:rsid w:val="00365608"/>
    <w:rsid w:val="007140F7"/>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4:docId w14:val="5EF517EF"/>
  <w15:chartTrackingRefBased/>
  <w15:docId w15:val="{F2E430AF-FBB7-E640-AD3E-F0CE21E5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6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6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6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6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6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6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608"/>
    <w:rPr>
      <w:rFonts w:eastAsiaTheme="majorEastAsia" w:cstheme="majorBidi"/>
      <w:color w:val="272727" w:themeColor="text1" w:themeTint="D8"/>
    </w:rPr>
  </w:style>
  <w:style w:type="paragraph" w:styleId="Title">
    <w:name w:val="Title"/>
    <w:basedOn w:val="Normal"/>
    <w:next w:val="Normal"/>
    <w:link w:val="TitleChar"/>
    <w:uiPriority w:val="10"/>
    <w:qFormat/>
    <w:rsid w:val="00365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608"/>
    <w:pPr>
      <w:spacing w:before="160"/>
      <w:jc w:val="center"/>
    </w:pPr>
    <w:rPr>
      <w:i/>
      <w:iCs/>
      <w:color w:val="404040" w:themeColor="text1" w:themeTint="BF"/>
    </w:rPr>
  </w:style>
  <w:style w:type="character" w:customStyle="1" w:styleId="QuoteChar">
    <w:name w:val="Quote Char"/>
    <w:basedOn w:val="DefaultParagraphFont"/>
    <w:link w:val="Quote"/>
    <w:uiPriority w:val="29"/>
    <w:rsid w:val="00365608"/>
    <w:rPr>
      <w:i/>
      <w:iCs/>
      <w:color w:val="404040" w:themeColor="text1" w:themeTint="BF"/>
    </w:rPr>
  </w:style>
  <w:style w:type="paragraph" w:styleId="ListParagraph">
    <w:name w:val="List Paragraph"/>
    <w:basedOn w:val="Normal"/>
    <w:uiPriority w:val="34"/>
    <w:qFormat/>
    <w:rsid w:val="00365608"/>
    <w:pPr>
      <w:ind w:left="720"/>
      <w:contextualSpacing/>
    </w:pPr>
  </w:style>
  <w:style w:type="character" w:styleId="IntenseEmphasis">
    <w:name w:val="Intense Emphasis"/>
    <w:basedOn w:val="DefaultParagraphFont"/>
    <w:uiPriority w:val="21"/>
    <w:qFormat/>
    <w:rsid w:val="00365608"/>
    <w:rPr>
      <w:i/>
      <w:iCs/>
      <w:color w:val="0F4761" w:themeColor="accent1" w:themeShade="BF"/>
    </w:rPr>
  </w:style>
  <w:style w:type="paragraph" w:styleId="IntenseQuote">
    <w:name w:val="Intense Quote"/>
    <w:basedOn w:val="Normal"/>
    <w:next w:val="Normal"/>
    <w:link w:val="IntenseQuoteChar"/>
    <w:uiPriority w:val="30"/>
    <w:qFormat/>
    <w:rsid w:val="00365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608"/>
    <w:rPr>
      <w:i/>
      <w:iCs/>
      <w:color w:val="0F4761" w:themeColor="accent1" w:themeShade="BF"/>
    </w:rPr>
  </w:style>
  <w:style w:type="character" w:styleId="IntenseReference">
    <w:name w:val="Intense Reference"/>
    <w:basedOn w:val="DefaultParagraphFont"/>
    <w:uiPriority w:val="32"/>
    <w:qFormat/>
    <w:rsid w:val="00365608"/>
    <w:rPr>
      <w:b/>
      <w:bCs/>
      <w:smallCaps/>
      <w:color w:val="0F4761" w:themeColor="accent1" w:themeShade="BF"/>
      <w:spacing w:val="5"/>
    </w:rPr>
  </w:style>
  <w:style w:type="character" w:styleId="Strong">
    <w:name w:val="Strong"/>
    <w:basedOn w:val="DefaultParagraphFont"/>
    <w:uiPriority w:val="22"/>
    <w:qFormat/>
    <w:rsid w:val="00365608"/>
    <w:rPr>
      <w:b/>
      <w:bCs/>
    </w:rPr>
  </w:style>
  <w:style w:type="character" w:customStyle="1" w:styleId="white-space-pre">
    <w:name w:val="white-space-pre"/>
    <w:basedOn w:val="DefaultParagraphFont"/>
    <w:rsid w:val="00365608"/>
  </w:style>
  <w:style w:type="character" w:styleId="Hyperlink">
    <w:name w:val="Hyperlink"/>
    <w:basedOn w:val="DefaultParagraphFont"/>
    <w:uiPriority w:val="99"/>
    <w:unhideWhenUsed/>
    <w:rsid w:val="00365608"/>
    <w:rPr>
      <w:color w:val="467886" w:themeColor="hyperlink"/>
      <w:u w:val="single"/>
    </w:rPr>
  </w:style>
  <w:style w:type="character" w:styleId="UnresolvedMention">
    <w:name w:val="Unresolved Mention"/>
    <w:basedOn w:val="DefaultParagraphFont"/>
    <w:uiPriority w:val="99"/>
    <w:semiHidden/>
    <w:unhideWhenUsed/>
    <w:rsid w:val="00365608"/>
    <w:rPr>
      <w:color w:val="605E5C"/>
      <w:shd w:val="clear" w:color="auto" w:fill="E1DFDD"/>
    </w:rPr>
  </w:style>
  <w:style w:type="character" w:styleId="FollowedHyperlink">
    <w:name w:val="FollowedHyperlink"/>
    <w:basedOn w:val="DefaultParagraphFont"/>
    <w:uiPriority w:val="99"/>
    <w:semiHidden/>
    <w:unhideWhenUsed/>
    <w:rsid w:val="003656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jobs/view/4327660828/?trackingId=CwOZYMcVF%2F%2BvP26CbfuNxw%3D%3D&amp;refId=%2FUyXvMEsWO7v%2B%2FyYR4zHvA%3D%3D&amp;midToken=AQHo-re0vEYrxQ&amp;midSig=2CR-2yxrQn4c41&amp;trk=eml-email_job_alert_digest_01-primary_job_list-0-jobcard_body_1738558330&amp;trkEmail=eml-email_job_alert_digest_01-primary_job_list-0-jobcard_body_1738558330-null-5xsmsb~mj6w04s4~p4-null-null&amp;eid=5xsmsb-mj6w04s4-p4&amp;otpToken=MTEwMDE3ZTAxYjJhYzhjNGIzMjQwNGVkNDAxYmUwYmM4OGNlZDI0NDlmYWY4NzYxNzdjMjA3NmI0ODVmNWRmNmY2ZDFkZmI4MWJmMGRhODc3YmZjZjRkMzM0NmJkYzY5M2ZkMWIzMDc1NzBlMGYwODY0N2MzZSwxLDE%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693</Words>
  <Characters>3951</Characters>
  <Application>Microsoft Office Word</Application>
  <DocSecurity>0</DocSecurity>
  <Lines>32</Lines>
  <Paragraphs>9</Paragraphs>
  <ScaleCrop>false</ScaleCrop>
  <Company>CFA Society Pakistan</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Sarwat Ahson</dc:creator>
  <cp:keywords/>
  <dc:description/>
  <cp:lastModifiedBy>Sarwat Ahson</cp:lastModifiedBy>
  <cp:revision>1</cp:revision>
  <dcterms:created xsi:type="dcterms:W3CDTF">2025-12-15T09:20:00Z</dcterms:created>
  <dcterms:modified xsi:type="dcterms:W3CDTF">2025-12-15T09:22:00Z</dcterms:modified>
</cp:coreProperties>
</file>