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2.png" ContentType="image/png"/>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ascii="Times New Roman" w:hAnsi="Times New Roman"/>
          <w:b/>
          <w:b/>
          <w:sz w:val="22"/>
        </w:rPr>
      </w:pPr>
      <w:r>
        <w:drawing>
          <wp:anchor behindDoc="0" distT="0" distB="0" distL="114300" distR="114300" simplePos="0" locked="0" layoutInCell="1" allowOverlap="1" relativeHeight="2">
            <wp:simplePos x="0" y="0"/>
            <wp:positionH relativeFrom="column">
              <wp:posOffset>3175</wp:posOffset>
            </wp:positionH>
            <wp:positionV relativeFrom="paragraph">
              <wp:posOffset>-150495</wp:posOffset>
            </wp:positionV>
            <wp:extent cx="1305560" cy="1146175"/>
            <wp:effectExtent l="0" t="0" r="0" b="0"/>
            <wp:wrapSquare wrapText="bothSides"/>
            <wp:docPr id="1"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descr=""/>
                    <pic:cNvPicPr>
                      <a:picLocks noChangeAspect="1" noChangeArrowheads="1"/>
                    </pic:cNvPicPr>
                  </pic:nvPicPr>
                  <pic:blipFill>
                    <a:blip r:embed="rId2"/>
                    <a:stretch>
                      <a:fillRect/>
                    </a:stretch>
                  </pic:blipFill>
                  <pic:spPr bwMode="auto">
                    <a:xfrm>
                      <a:off x="0" y="0"/>
                      <a:ext cx="1305560" cy="1146175"/>
                    </a:xfrm>
                    <a:prstGeom prst="rect">
                      <a:avLst/>
                    </a:prstGeom>
                  </pic:spPr>
                </pic:pic>
              </a:graphicData>
            </a:graphic>
          </wp:anchor>
        </w:drawing>
      </w:r>
      <w:r>
        <w:rPr>
          <w:b/>
          <w:szCs w:val="28"/>
        </w:rPr>
        <w:tab/>
      </w:r>
      <w:r>
        <w:rPr>
          <w:b/>
          <w:szCs w:val="28"/>
        </w:rPr>
        <w:tab/>
        <w:tab/>
      </w:r>
      <w:r>
        <w:rPr>
          <w:rFonts w:ascii="Times New Roman" w:hAnsi="Times New Roman"/>
          <w:b/>
          <w:szCs w:val="28"/>
        </w:rPr>
        <w:t>EMBARGOED FOR RELEASE</w:t>
      </w:r>
    </w:p>
    <w:p>
      <w:pPr>
        <w:pStyle w:val="Normal"/>
        <w:jc w:val="right"/>
        <w:rPr>
          <w:rFonts w:ascii="Times New Roman" w:hAnsi="Times New Roman"/>
        </w:rPr>
      </w:pPr>
      <w:r>
        <w:rPr>
          <w:rFonts w:ascii="Times New Roman" w:hAnsi="Times New Roman"/>
          <w:szCs w:val="24"/>
        </w:rPr>
        <w:tab/>
      </w:r>
      <w:r>
        <w:rPr>
          <w:rFonts w:ascii="Times New Roman" w:hAnsi="Times New Roman"/>
        </w:rPr>
        <w:tab/>
        <w:t>Until 7 a.m. PDT, Monday, October 17, 2022</w:t>
      </w:r>
      <w:bookmarkStart w:id="0" w:name="_Hlk21427241"/>
      <w:bookmarkEnd w:id="0"/>
    </w:p>
    <w:p>
      <w:pPr>
        <w:pStyle w:val="Normal"/>
        <w:jc w:val="right"/>
        <w:rPr>
          <w:rFonts w:ascii="Times New Roman" w:hAnsi="Times New Roman"/>
        </w:rPr>
      </w:pPr>
      <w:r>
        <w:rPr>
          <w:rFonts w:ascii="Times New Roman" w:hAnsi="Times New Roman"/>
          <w:b/>
        </w:rPr>
        <w:t>MEDIA CONTACTS</w:t>
        <w:br/>
      </w:r>
      <w:r>
        <w:rPr>
          <w:rFonts w:ascii="Times New Roman" w:hAnsi="Times New Roman"/>
        </w:rPr>
        <w:t>Saralyn Stewart</w:t>
        <w:br/>
        <w:t>(512) 694-2320</w:t>
      </w:r>
    </w:p>
    <w:p>
      <w:pPr>
        <w:pStyle w:val="Normal"/>
        <w:jc w:val="right"/>
        <w:rPr>
          <w:rFonts w:ascii="Times New Roman" w:hAnsi="Times New Roman"/>
          <w:b/>
          <w:b/>
          <w:color w:val="993366"/>
          <w:sz w:val="36"/>
        </w:rPr>
      </w:pPr>
      <w:r>
        <w:rPr>
          <w:rFonts w:ascii="Times New Roman" w:hAnsi="Times New Roman"/>
        </w:rPr>
        <w:t>stewart@physics.utexas.edu</w:t>
      </w:r>
    </w:p>
    <w:p>
      <w:pPr>
        <w:pStyle w:val="Normal"/>
        <w:jc w:val="right"/>
        <w:rPr>
          <w:rFonts w:ascii="Arial" w:hAnsi="Arial"/>
          <w:b/>
          <w:b/>
          <w:szCs w:val="24"/>
        </w:rPr>
      </w:pPr>
      <w:r>
        <w:rPr>
          <w:rFonts w:ascii="Arial" w:hAnsi="Arial"/>
          <w:b/>
          <w:szCs w:val="24"/>
        </w:rPr>
      </w:r>
    </w:p>
    <w:p>
      <w:pPr>
        <w:pStyle w:val="Normal"/>
        <w:spacing w:lineRule="auto" w:line="276" w:before="0" w:after="120"/>
        <w:jc w:val="center"/>
        <w:rPr>
          <w:b/>
          <w:b/>
          <w:szCs w:val="24"/>
        </w:rPr>
      </w:pPr>
      <w:r>
        <w:rPr>
          <w:rFonts w:ascii="Arial" w:hAnsi="Arial"/>
          <w:b/>
          <w:szCs w:val="24"/>
        </w:rPr>
        <w:t>Racing to Fusion Energy</w:t>
      </w:r>
    </w:p>
    <w:p>
      <w:pPr>
        <w:pStyle w:val="TextBody"/>
        <w:spacing w:lineRule="auto" w:line="276" w:before="0" w:after="120"/>
        <w:jc w:val="center"/>
        <w:rPr>
          <w:rFonts w:ascii="Times New Roman" w:hAnsi="Times New Roman"/>
          <w:szCs w:val="24"/>
        </w:rPr>
      </w:pPr>
      <w:r>
        <w:rPr>
          <w:rFonts w:ascii="Times New Roman" w:hAnsi="Times New Roman"/>
          <w:szCs w:val="24"/>
        </w:rPr>
        <w:t>Various magnetic configurations, championed by different partnerships, are in the race toward fusion energy commercialization and solutions for fusion pilot plants.</w:t>
      </w:r>
    </w:p>
    <w:p>
      <w:pPr>
        <w:pStyle w:val="Normal"/>
        <w:rPr>
          <w:rFonts w:ascii="Times New Roman" w:hAnsi="Times New Roman"/>
          <w:color w:val="000000"/>
          <w:szCs w:val="24"/>
        </w:rPr>
      </w:pPr>
      <w:r>
        <w:rPr>
          <w:rFonts w:ascii="Times New Roman" w:hAnsi="Times New Roman"/>
          <w:szCs w:val="24"/>
        </w:rPr>
        <w:t>SPOKANE, Wash.—</w:t>
      </w:r>
      <w:r>
        <w:rPr>
          <w:rFonts w:ascii="Times New Roman" w:hAnsi="Times New Roman"/>
          <w:color w:val="000000"/>
          <w:szCs w:val="24"/>
        </w:rPr>
        <w:t>As the development of fusion energy around the world is intensifying, many groups are exploring and commissioning various innovative magnetic configurations. Controlled fusion, which offers a carbon-free, dispatchable energy source, can contribute to a f</w:t>
      </w:r>
      <w:r>
        <w:rPr>
          <w:rFonts w:ascii="Times New Roman" w:hAnsi="Times New Roman"/>
          <w:szCs w:val="24"/>
        </w:rPr>
        <w:t xml:space="preserve">uture decarbonized electrical generation infrastructure. </w:t>
      </w:r>
      <w:r>
        <w:rPr>
          <w:rFonts w:ascii="Times New Roman" w:hAnsi="Times New Roman"/>
          <w:color w:val="000000"/>
          <w:szCs w:val="24"/>
        </w:rPr>
        <w:t xml:space="preserve">From the mainstream tokamak configuration to more-compact systems such as the spherical tokamak and magnetic-mirror trap, various privately and publicly funded institutions are focused on two major objectives: 1) operation at high temperatures, hundreds of millions of degrees (10 times hotter than the sun), to fuse isotopes of hydrogen, the lightest atom, and achieve fusion energy; 2) closing the gap for solving the myriad technological challenges required for a viable fusion pilot plant. </w:t>
      </w:r>
    </w:p>
    <w:p>
      <w:pPr>
        <w:pStyle w:val="Normal"/>
        <w:rPr>
          <w:rFonts w:ascii="Times New Roman" w:hAnsi="Times New Roman"/>
          <w:color w:val="000000"/>
          <w:szCs w:val="24"/>
        </w:rPr>
      </w:pPr>
      <w:r>
        <w:rPr>
          <w:rFonts w:ascii="Times New Roman" w:hAnsi="Times New Roman"/>
          <w:color w:val="000000"/>
          <w:szCs w:val="24"/>
        </w:rPr>
      </w:r>
    </w:p>
    <w:p>
      <w:pPr>
        <w:pStyle w:val="Normal"/>
        <w:rPr/>
      </w:pPr>
      <w:r>
        <w:rPr>
          <w:rFonts w:ascii="Times New Roman" w:hAnsi="Times New Roman"/>
          <w:color w:val="000000"/>
          <w:szCs w:val="24"/>
        </w:rPr>
        <w:t xml:space="preserve">To transition to </w:t>
      </w:r>
      <w:r>
        <w:rPr>
          <w:rFonts w:ascii="Times New Roman" w:hAnsi="Times New Roman"/>
          <w:szCs w:val="24"/>
        </w:rPr>
        <w:t>commercial fusion energy to generate net electricity, science and technology must be tested in a realistic fusion power plant environment.</w:t>
      </w:r>
      <w:r>
        <w:rPr>
          <w:rFonts w:ascii="Times New Roman" w:hAnsi="Times New Roman"/>
          <w:color w:val="000000"/>
          <w:szCs w:val="24"/>
        </w:rPr>
        <w:t xml:space="preserve"> These tests, however, do not require a full scale power plant. In the U.S., an upgrade is </w:t>
      </w:r>
      <w:r>
        <w:rPr>
          <w:rFonts w:ascii="Times New Roman" w:hAnsi="Times New Roman"/>
          <w:color w:val="000000"/>
          <w:szCs w:val="24"/>
        </w:rPr>
        <w:t>proposed</w:t>
      </w:r>
      <w:r>
        <w:rPr>
          <w:rFonts w:ascii="Times New Roman" w:hAnsi="Times New Roman"/>
          <w:color w:val="000000"/>
          <w:szCs w:val="24"/>
        </w:rPr>
        <w:t xml:space="preserve"> for the DIII-D facility, a conventional doughnut-shaped tokamak, to close gaps on reactor physics and serve as a test bed for a fusion pilot plant. Increased radiofrequency heating will provide the flexibility to vary the plasma’s internal current distribution to pioneer pulsed and steady state configurations to meet reactor goals. When combined with a proposed volume, field and current rise, it also transforms access to reactor-relevant low rotation, thermalized, opaque regimes. New flexible “divertor” structures that direct the plasma heat into cold, dense, radiative dissipation zones at the plasma’s edge, will then explore what physical and magnetic geometries best contain these dissipation zones, and their compatibility with the fusion core. As Professor Dr. Hartmut Zohm, a Director at Germany’s Max Planck Institute who chaired a review of this proposal, noted, “These are ambitious plans. The proposed upgrades will provide an effective route to resolving crucial questions towards an attractive Fusion Power Plant based on the tokamak principle.”</w:t>
      </w:r>
    </w:p>
    <w:p>
      <w:pPr>
        <w:pStyle w:val="Normal"/>
        <w:rPr>
          <w:rFonts w:ascii="Times New Roman" w:hAnsi="Times New Roman"/>
          <w:color w:val="000000"/>
          <w:szCs w:val="24"/>
        </w:rPr>
      </w:pPr>
      <w:r>
        <w:rPr>
          <w:rFonts w:ascii="Times New Roman" w:hAnsi="Times New Roman"/>
          <w:color w:val="000000"/>
          <w:szCs w:val="24"/>
        </w:rPr>
      </w:r>
    </w:p>
    <w:p>
      <w:pPr>
        <w:pStyle w:val="Normal"/>
        <w:rPr>
          <w:rFonts w:ascii="Times New Roman" w:hAnsi="Times New Roman"/>
          <w:color w:val="000000"/>
          <w:szCs w:val="24"/>
        </w:rPr>
      </w:pPr>
      <w:r>
        <w:rPr>
          <w:rFonts w:ascii="Times New Roman" w:hAnsi="Times New Roman"/>
          <w:color w:val="000000"/>
          <w:szCs w:val="24"/>
        </w:rPr>
        <w:t xml:space="preserve">In the U.K., Tokamak Energy’s ST40 spherical tokamak (compacting the fuel into a high magnetic field region), has recently achieved a primary objective of reaching a thermal plasma temperature of 100 million degrees. </w:t>
      </w:r>
      <w:r>
        <w:rPr>
          <w:rFonts w:ascii="Times New Roman" w:hAnsi="Times New Roman"/>
          <w:szCs w:val="24"/>
        </w:rPr>
        <w:t>Tokamak Energy’s ST40 is a high field spherical tokamak with a major radius of 40 centimeters. The device utilizes a 4-meter-tall, stainless-steel vessel with copper toroidal field coils which are designed to produce magnetic fields up to 3 T. ST40 achieved its first initial objective of 100 million degree plasma ion temperature in a high-field, low-aspect-ratio tokamak. Achieving an impressive value of result of 6x10</w:t>
      </w:r>
      <w:r>
        <w:rPr>
          <w:rFonts w:ascii="Times New Roman" w:hAnsi="Times New Roman"/>
          <w:szCs w:val="24"/>
          <w:vertAlign w:val="superscript"/>
        </w:rPr>
        <w:t>18</w:t>
      </w:r>
      <w:r>
        <w:rPr>
          <w:rFonts w:ascii="Times New Roman" w:hAnsi="Times New Roman"/>
          <w:szCs w:val="24"/>
        </w:rPr>
        <w:t> keV.s.m</w:t>
      </w:r>
      <w:r>
        <w:rPr>
          <w:rFonts w:ascii="Times New Roman" w:hAnsi="Times New Roman"/>
          <w:szCs w:val="24"/>
          <w:vertAlign w:val="superscript"/>
        </w:rPr>
        <w:t>-3</w:t>
      </w:r>
      <w:r>
        <w:rPr>
          <w:rFonts w:ascii="Times New Roman" w:hAnsi="Times New Roman"/>
          <w:szCs w:val="24"/>
        </w:rPr>
        <w:t> for the important triple-product metric of density times temperature times confinement time at 100 million degrees is a new record for such a compact tokamak with plasma volume less than 1 cubic meter. This takes the spherical tokamak closer to energy-breakeven conditions (i.e., fusion energy gain exceeding 100 percent). Tokamak Energy is now focused on the design work for its next device, the ST-HTS, which will be the world’s first spherical tokamak to demonstrate the full potential of higher (than liquid helium) temperature superconducting (HTS) magnets.</w:t>
      </w:r>
    </w:p>
    <w:p>
      <w:pPr>
        <w:pStyle w:val="Normal"/>
        <w:rPr>
          <w:rFonts w:ascii="Times New Roman" w:hAnsi="Times New Roman"/>
          <w:color w:val="000000"/>
          <w:szCs w:val="24"/>
        </w:rPr>
      </w:pPr>
      <w:r>
        <w:rPr>
          <w:rFonts w:ascii="Times New Roman" w:hAnsi="Times New Roman"/>
          <w:color w:val="000000"/>
          <w:szCs w:val="24"/>
        </w:rPr>
      </w:r>
    </w:p>
    <w:p>
      <w:pPr>
        <w:pStyle w:val="Normal"/>
        <w:rPr>
          <w:rFonts w:ascii="Times New Roman" w:hAnsi="Times New Roman"/>
          <w:color w:val="000000"/>
          <w:szCs w:val="24"/>
        </w:rPr>
      </w:pPr>
      <w:r>
        <w:rPr>
          <w:rFonts w:ascii="Times New Roman" w:hAnsi="Times New Roman"/>
          <w:color w:val="000000"/>
          <w:szCs w:val="24"/>
        </w:rPr>
        <w:t>Other devices, of alternative simpler magnetic designs, are also working toward major fusion energy objectives. The Centrifugal Mirror Fusion Experiment (CMFX) at the University of Maryland will be the first superconducting centrifugal magnetic mirror to ever be experimentally tested. The magnetic mirror is the simplest form of steady magnetic confinement, and centrifugal rotation at supersonic speeds makes it a promising fusion reactor candidate for its stability, engineering simplicity, and expected affordability with respect to other fusion concepts. A magnetic mirror is made in a cylindrical machine with a minimum of two coils that trap the plasma between them. Simple mirrors, however, are known to be unstable under thermonuclear conditions. Imposed supersonic rotation stabilizes them and helps heat the plasma all the way to fusion temperatures. The primary goal in CMFX is to achieve high temperatures, with better density control and longer steady discharges than in the previous generation. CMFX is an intermediate but important step in the development of a centrifugal mirror reactor, and success in this program will enable a fast path toward the goal of commercial fusion reactors.</w:t>
      </w:r>
    </w:p>
    <w:p>
      <w:pPr>
        <w:pStyle w:val="Normal"/>
        <w:rPr>
          <w:rFonts w:ascii="Times New Roman" w:hAnsi="Times New Roman"/>
          <w:color w:val="000000"/>
          <w:szCs w:val="24"/>
        </w:rPr>
      </w:pPr>
      <w:r>
        <w:rPr>
          <w:rFonts w:ascii="Times New Roman" w:hAnsi="Times New Roman"/>
          <w:color w:val="000000"/>
          <w:szCs w:val="24"/>
        </w:rPr>
      </w:r>
    </w:p>
    <w:p>
      <w:pPr>
        <w:pStyle w:val="Normal"/>
        <w:spacing w:before="5045" w:after="0"/>
        <w:rPr>
          <w:rFonts w:ascii="Times New Roman" w:hAnsi="Times New Roman"/>
          <w:szCs w:val="24"/>
        </w:rPr>
      </w:pPr>
      <w:r>
        <mc:AlternateContent>
          <mc:Choice Requires="wps">
            <w:drawing>
              <wp:anchor behindDoc="0" distT="0" distB="0" distL="114300" distR="114300" simplePos="0" locked="0" layoutInCell="1" allowOverlap="1" relativeHeight="4" wp14:anchorId="373D8B7B">
                <wp:simplePos x="0" y="0"/>
                <wp:positionH relativeFrom="column">
                  <wp:posOffset>228600</wp:posOffset>
                </wp:positionH>
                <wp:positionV relativeFrom="paragraph">
                  <wp:posOffset>3251200</wp:posOffset>
                </wp:positionV>
                <wp:extent cx="5240020" cy="641985"/>
                <wp:effectExtent l="0" t="0" r="0" b="0"/>
                <wp:wrapTopAndBottom/>
                <wp:docPr id="2" name="Text Box 1"/>
                <a:graphic xmlns:a="http://schemas.openxmlformats.org/drawingml/2006/main">
                  <a:graphicData uri="http://schemas.microsoft.com/office/word/2010/wordprocessingShape">
                    <wps:wsp>
                      <wps:cNvSpPr/>
                      <wps:spPr>
                        <a:xfrm>
                          <a:off x="0" y="0"/>
                          <a:ext cx="5239440" cy="64152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rFonts w:ascii="Times New Roman" w:hAnsi="Times New Roman"/>
                                <w:b w:val="false"/>
                                <w:bCs w:val="false"/>
                                <w:i/>
                                <w:iCs/>
                                <w:color w:val="auto"/>
                                <w:sz w:val="22"/>
                                <w:szCs w:val="22"/>
                              </w:rPr>
                              <w:t xml:space="preserve">Figure </w:t>
                            </w:r>
                            <w:r>
                              <w:rPr>
                                <w:rFonts w:ascii="Times New Roman" w:hAnsi="Times New Roman"/>
                                <w:b w:val="false"/>
                                <w:bCs w:val="false"/>
                                <w:i/>
                                <w:iCs/>
                                <w:sz w:val="22"/>
                                <w:szCs w:val="22"/>
                              </w:rPr>
                              <w:fldChar w:fldCharType="begin"/>
                            </w:r>
                            <w:r>
                              <w:rPr>
                                <w:sz w:val="22"/>
                                <w:i/>
                                <w:b w:val="false"/>
                                <w:szCs w:val="22"/>
                                <w:iCs/>
                                <w:bCs w:val="false"/>
                                <w:rFonts w:ascii="Times New Roman" w:hAnsi="Times New Roman"/>
                              </w:rPr>
                              <w:instrText> SEQ Figure \* ARABIC </w:instrText>
                            </w:r>
                            <w:r>
                              <w:rPr>
                                <w:sz w:val="22"/>
                                <w:i/>
                                <w:b w:val="false"/>
                                <w:szCs w:val="22"/>
                                <w:iCs/>
                                <w:bCs w:val="false"/>
                                <w:rFonts w:ascii="Times New Roman" w:hAnsi="Times New Roman"/>
                              </w:rPr>
                              <w:fldChar w:fldCharType="separate"/>
                            </w:r>
                            <w:r>
                              <w:rPr>
                                <w:sz w:val="22"/>
                                <w:i/>
                                <w:b w:val="false"/>
                                <w:szCs w:val="22"/>
                                <w:iCs/>
                                <w:bCs w:val="false"/>
                                <w:rFonts w:ascii="Times New Roman" w:hAnsi="Times New Roman"/>
                              </w:rPr>
                              <w:t>1</w:t>
                            </w:r>
                            <w:r>
                              <w:rPr>
                                <w:sz w:val="22"/>
                                <w:i/>
                                <w:b w:val="false"/>
                                <w:szCs w:val="22"/>
                                <w:iCs/>
                                <w:bCs w:val="false"/>
                                <w:rFonts w:ascii="Times New Roman" w:hAnsi="Times New Roman"/>
                              </w:rPr>
                              <w:fldChar w:fldCharType="end"/>
                            </w:r>
                            <w:r>
                              <w:rPr>
                                <w:rFonts w:ascii="Times New Roman" w:hAnsi="Times New Roman"/>
                                <w:b w:val="false"/>
                                <w:bCs w:val="false"/>
                                <w:i/>
                                <w:iCs/>
                                <w:color w:val="auto"/>
                                <w:sz w:val="22"/>
                                <w:szCs w:val="22"/>
                              </w:rPr>
                              <w:t>: Championed by different partnerships, the race toward net electricity generation from fusion energy includes a portfolio of magnetic configurations, from the mainstream tokamak to compact systems (with a small sample of such devices shown), as well as credible designs for viable pilot plants.</w:t>
                            </w:r>
                          </w:p>
                        </w:txbxContent>
                      </wps:txbx>
                      <wps:bodyPr lIns="0" rIns="0" tIns="0" bIns="0">
                        <a:prstTxWarp prst="textNoShape"/>
                        <a:spAutoFit/>
                      </wps:bodyPr>
                    </wps:wsp>
                  </a:graphicData>
                </a:graphic>
              </wp:anchor>
            </w:drawing>
          </mc:Choice>
          <mc:Fallback>
            <w:pict>
              <v:rect id="shape_0" ID="Text Box 1" fillcolor="white" stroked="f" style="position:absolute;margin-left:18pt;margin-top:256pt;width:412.5pt;height:50.45pt" wp14:anchorId="373D8B7B">
                <w10:wrap type="square"/>
                <v:fill o:detectmouseclick="t" type="solid" color2="black"/>
                <v:stroke color="#3465a4" joinstyle="round" endcap="flat"/>
                <v:textbox>
                  <w:txbxContent>
                    <w:p>
                      <w:pPr>
                        <w:pStyle w:val="Caption1"/>
                        <w:spacing w:before="0" w:after="200"/>
                        <w:rPr/>
                      </w:pPr>
                      <w:r>
                        <w:rPr>
                          <w:rFonts w:ascii="Times New Roman" w:hAnsi="Times New Roman"/>
                          <w:b w:val="false"/>
                          <w:bCs w:val="false"/>
                          <w:i/>
                          <w:iCs/>
                          <w:color w:val="auto"/>
                          <w:sz w:val="22"/>
                          <w:szCs w:val="22"/>
                        </w:rPr>
                        <w:t xml:space="preserve">Figure </w:t>
                      </w:r>
                      <w:r>
                        <w:rPr>
                          <w:rFonts w:ascii="Times New Roman" w:hAnsi="Times New Roman"/>
                          <w:b w:val="false"/>
                          <w:bCs w:val="false"/>
                          <w:i/>
                          <w:iCs/>
                          <w:sz w:val="22"/>
                          <w:szCs w:val="22"/>
                        </w:rPr>
                        <w:fldChar w:fldCharType="begin"/>
                      </w:r>
                      <w:r>
                        <w:rPr>
                          <w:sz w:val="22"/>
                          <w:i/>
                          <w:b w:val="false"/>
                          <w:szCs w:val="22"/>
                          <w:iCs/>
                          <w:bCs w:val="false"/>
                          <w:rFonts w:ascii="Times New Roman" w:hAnsi="Times New Roman"/>
                        </w:rPr>
                        <w:instrText> SEQ Figure \* ARABIC </w:instrText>
                      </w:r>
                      <w:r>
                        <w:rPr>
                          <w:sz w:val="22"/>
                          <w:i/>
                          <w:b w:val="false"/>
                          <w:szCs w:val="22"/>
                          <w:iCs/>
                          <w:bCs w:val="false"/>
                          <w:rFonts w:ascii="Times New Roman" w:hAnsi="Times New Roman"/>
                        </w:rPr>
                        <w:fldChar w:fldCharType="separate"/>
                      </w:r>
                      <w:r>
                        <w:rPr>
                          <w:sz w:val="22"/>
                          <w:i/>
                          <w:b w:val="false"/>
                          <w:szCs w:val="22"/>
                          <w:iCs/>
                          <w:bCs w:val="false"/>
                          <w:rFonts w:ascii="Times New Roman" w:hAnsi="Times New Roman"/>
                        </w:rPr>
                        <w:t>1</w:t>
                      </w:r>
                      <w:r>
                        <w:rPr>
                          <w:sz w:val="22"/>
                          <w:i/>
                          <w:b w:val="false"/>
                          <w:szCs w:val="22"/>
                          <w:iCs/>
                          <w:bCs w:val="false"/>
                          <w:rFonts w:ascii="Times New Roman" w:hAnsi="Times New Roman"/>
                        </w:rPr>
                        <w:fldChar w:fldCharType="end"/>
                      </w:r>
                      <w:r>
                        <w:rPr>
                          <w:rFonts w:ascii="Times New Roman" w:hAnsi="Times New Roman"/>
                          <w:b w:val="false"/>
                          <w:bCs w:val="false"/>
                          <w:i/>
                          <w:iCs/>
                          <w:color w:val="auto"/>
                          <w:sz w:val="22"/>
                          <w:szCs w:val="22"/>
                        </w:rPr>
                        <w:t>: Championed by different partnerships, the race toward net electricity generation from fusion energy includes a portfolio of magnetic configurations, from the mainstream tokamak to compact systems (with a small sample of such devices shown), as well as credible designs for viable pilot plants.</w:t>
                      </w:r>
                    </w:p>
                  </w:txbxContent>
                </v:textbox>
              </v:rect>
            </w:pict>
          </mc:Fallback>
        </mc:AlternateContent>
        <w:drawing>
          <wp:anchor behindDoc="0" distT="0" distB="0" distL="114300" distR="114300" simplePos="0" locked="0" layoutInCell="1" allowOverlap="1" relativeHeight="3">
            <wp:simplePos x="0" y="0"/>
            <wp:positionH relativeFrom="column">
              <wp:posOffset>933450</wp:posOffset>
            </wp:positionH>
            <wp:positionV relativeFrom="paragraph">
              <wp:posOffset>604520</wp:posOffset>
            </wp:positionV>
            <wp:extent cx="3663950" cy="2561590"/>
            <wp:effectExtent l="0" t="0" r="0" b="0"/>
            <wp:wrapTopAndBottom/>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3"/>
                    <a:stretch>
                      <a:fillRect/>
                    </a:stretch>
                  </pic:blipFill>
                  <pic:spPr bwMode="auto">
                    <a:xfrm>
                      <a:off x="0" y="0"/>
                      <a:ext cx="3663950" cy="2561590"/>
                    </a:xfrm>
                    <a:prstGeom prst="rect">
                      <a:avLst/>
                    </a:prstGeom>
                  </pic:spPr>
                </pic:pic>
              </a:graphicData>
            </a:graphic>
          </wp:anchor>
        </w:drawing>
      </w:r>
      <w:r>
        <w:rPr>
          <w:rFonts w:ascii="Times New Roman" w:hAnsi="Times New Roman"/>
          <w:szCs w:val="24"/>
        </w:rPr>
        <w:t>Together, these developments show exciting potential to rapidly resolve critical science and technology challenges for fusion energy, and they provide evidence for the design credibility of a viable fusion pilot plant.</w:t>
      </w:r>
    </w:p>
    <w:p>
      <w:pPr>
        <w:pStyle w:val="Normal"/>
        <w:rPr>
          <w:rFonts w:ascii="Times New Roman" w:hAnsi="Times New Roman"/>
          <w:szCs w:val="24"/>
        </w:rPr>
      </w:pPr>
      <w:r>
        <w:rPr>
          <w:rFonts w:ascii="Times New Roman" w:hAnsi="Times New Roman"/>
          <w:b/>
          <w:szCs w:val="24"/>
        </w:rPr>
        <w:t>Contact:</w:t>
      </w:r>
    </w:p>
    <w:p>
      <w:pPr>
        <w:pStyle w:val="Normal"/>
        <w:rPr/>
      </w:pPr>
      <w:r>
        <w:rPr>
          <w:rFonts w:ascii="Times New Roman" w:hAnsi="Times New Roman"/>
          <w:szCs w:val="24"/>
        </w:rPr>
        <w:t xml:space="preserve">Richard Buttery, General Atomics,  </w:t>
      </w:r>
      <w:hyperlink r:id="rId4">
        <w:r>
          <w:rPr>
            <w:rStyle w:val="InternetLink"/>
            <w:rFonts w:ascii="Times New Roman" w:hAnsi="Times New Roman"/>
            <w:szCs w:val="24"/>
          </w:rPr>
          <w:t>buttery@fusion.gat.com</w:t>
        </w:r>
      </w:hyperlink>
      <w:r>
        <w:rPr>
          <w:rFonts w:ascii="Times New Roman" w:hAnsi="Times New Roman"/>
          <w:szCs w:val="24"/>
        </w:rPr>
        <w:t xml:space="preserve"> </w:t>
      </w:r>
    </w:p>
    <w:p>
      <w:pPr>
        <w:pStyle w:val="Normal"/>
        <w:rPr/>
      </w:pPr>
      <w:r>
        <w:rPr>
          <w:rFonts w:ascii="Times New Roman" w:hAnsi="Times New Roman"/>
          <w:szCs w:val="24"/>
        </w:rPr>
        <w:t xml:space="preserve">Mark Koepke, Tokamak Energy, </w:t>
      </w:r>
      <w:hyperlink r:id="rId5">
        <w:r>
          <w:rPr>
            <w:rStyle w:val="InternetLink"/>
            <w:rFonts w:ascii="Times New Roman" w:hAnsi="Times New Roman"/>
            <w:szCs w:val="24"/>
          </w:rPr>
          <w:t>Mark.Koepke@tokamakenergy.com</w:t>
        </w:r>
      </w:hyperlink>
      <w:r>
        <w:rPr>
          <w:rFonts w:ascii="Times New Roman" w:hAnsi="Times New Roman"/>
          <w:szCs w:val="24"/>
        </w:rPr>
        <w:br/>
        <w:t xml:space="preserve">Carlos Romero Talamas, University of Maryland Baltimore County, </w:t>
      </w:r>
      <w:hyperlink r:id="rId6" w:tgtFrame="_blank">
        <w:r>
          <w:rPr>
            <w:rStyle w:val="InternetLink"/>
            <w:rFonts w:ascii="Times New Roman" w:hAnsi="Times New Roman"/>
            <w:color w:val="0000FF"/>
            <w:szCs w:val="24"/>
          </w:rPr>
          <w:t>romero@umbc.edu</w:t>
        </w:r>
      </w:hyperlink>
    </w:p>
    <w:p>
      <w:pPr>
        <w:pStyle w:val="Normal"/>
        <w:rPr>
          <w:rFonts w:ascii="Times New Roman" w:hAnsi="Times New Roman"/>
          <w:b/>
          <w:b/>
          <w:szCs w:val="24"/>
          <w:u w:val="single"/>
        </w:rPr>
      </w:pPr>
      <w:r>
        <w:rPr>
          <w:rFonts w:ascii="Times New Roman" w:hAnsi="Times New Roman"/>
          <w:b/>
          <w:szCs w:val="24"/>
          <w:u w:val="single"/>
        </w:rPr>
      </w:r>
    </w:p>
    <w:p>
      <w:pPr>
        <w:pStyle w:val="Normal"/>
        <w:rPr>
          <w:rFonts w:ascii="Times New Roman" w:hAnsi="Times New Roman"/>
          <w:b/>
          <w:b/>
          <w:szCs w:val="24"/>
          <w:u w:val="single"/>
        </w:rPr>
      </w:pPr>
      <w:r>
        <w:rPr>
          <w:rFonts w:ascii="Times New Roman" w:hAnsi="Times New Roman"/>
          <w:b/>
          <w:szCs w:val="24"/>
          <w:u w:val="single"/>
        </w:rPr>
        <w:t>Abstracts</w:t>
      </w:r>
    </w:p>
    <w:p>
      <w:pPr>
        <w:pStyle w:val="Normal"/>
        <w:rPr>
          <w:rFonts w:ascii="Times New Roman" w:hAnsi="Times New Roman"/>
          <w:b/>
          <w:b/>
          <w:szCs w:val="24"/>
          <w:u w:val="single"/>
        </w:rPr>
      </w:pPr>
      <w:r>
        <w:rPr>
          <w:rFonts w:ascii="Times New Roman" w:hAnsi="Times New Roman"/>
          <w:b/>
          <w:szCs w:val="24"/>
          <w:u w:val="single"/>
        </w:rPr>
      </w:r>
    </w:p>
    <w:p>
      <w:pPr>
        <w:pStyle w:val="Normal"/>
        <w:rPr>
          <w:rFonts w:ascii="Times New Roman" w:hAnsi="Times New Roman"/>
          <w:b/>
          <w:b/>
          <w:szCs w:val="24"/>
        </w:rPr>
      </w:pPr>
      <w:r>
        <w:rPr>
          <w:rFonts w:ascii="Times New Roman" w:hAnsi="Times New Roman"/>
          <w:b/>
          <w:szCs w:val="24"/>
        </w:rPr>
        <w:t>Richard Buttery</w:t>
      </w:r>
    </w:p>
    <w:p>
      <w:pPr>
        <w:pStyle w:val="Normal"/>
        <w:ind w:left="2160" w:hanging="2160"/>
        <w:rPr/>
      </w:pPr>
      <w:hyperlink r:id="rId7">
        <w:r>
          <w:rPr>
            <w:rStyle w:val="InternetLink"/>
            <w:rFonts w:ascii="Times New Roman" w:hAnsi="Times New Roman"/>
            <w:szCs w:val="24"/>
          </w:rPr>
          <w:t>PM10.00006</w:t>
        </w:r>
      </w:hyperlink>
      <w:r>
        <w:rPr>
          <w:rFonts w:ascii="Times New Roman" w:hAnsi="Times New Roman"/>
          <w:szCs w:val="24"/>
        </w:rPr>
        <w:t xml:space="preserve"> </w:t>
        <w:tab/>
      </w:r>
      <w:hyperlink r:id="rId8">
        <w:r>
          <w:rPr>
            <w:rStyle w:val="InternetLink"/>
            <w:rFonts w:ascii="Times New Roman" w:hAnsi="Times New Roman"/>
            <w:szCs w:val="24"/>
          </w:rPr>
          <w:t>A Performance Upgrade to Resolve the Physics of the ITEP Gap with DIII-D</w:t>
        </w:r>
      </w:hyperlink>
    </w:p>
    <w:p>
      <w:pPr>
        <w:pStyle w:val="Normal"/>
        <w:ind w:left="2160" w:hanging="2160"/>
        <w:rPr/>
      </w:pPr>
      <w:r>
        <w:rPr>
          <w:rFonts w:ascii="Times New Roman" w:hAnsi="Times New Roman"/>
          <w:b/>
          <w:szCs w:val="24"/>
        </w:rPr>
        <w:t>Session</w:t>
        <w:tab/>
      </w:r>
      <w:hyperlink r:id="rId9">
        <w:r>
          <w:rPr>
            <w:rStyle w:val="InternetLink"/>
            <w:rFonts w:ascii="Times New Roman" w:hAnsi="Times New Roman"/>
            <w:szCs w:val="24"/>
          </w:rPr>
          <w:t>PM10: Mini-Conference: The Integrated Tokamak Exhaust and Performance Gap I</w:t>
        </w:r>
      </w:hyperlink>
    </w:p>
    <w:p>
      <w:pPr>
        <w:pStyle w:val="Default"/>
        <w:ind w:left="1440" w:firstLine="720"/>
        <w:rPr/>
      </w:pPr>
      <w:hyperlink r:id="rId10">
        <w:r>
          <w:rPr>
            <w:rStyle w:val="ListLabel7"/>
            <w:rFonts w:cs="Times New Roman" w:ascii="Times New Roman" w:hAnsi="Times New Roman"/>
            <w:sz w:val="24"/>
            <w:szCs w:val="24"/>
          </w:rPr>
          <w:t>2:00 PM–4:59 PM, Wednesday, October 19, 2022</w:t>
        </w:r>
      </w:hyperlink>
    </w:p>
    <w:p>
      <w:pPr>
        <w:pStyle w:val="Normal"/>
        <w:ind w:left="2160" w:hanging="2160"/>
        <w:rPr>
          <w:rFonts w:ascii="Times New Roman" w:hAnsi="Times New Roman"/>
          <w:szCs w:val="24"/>
        </w:rPr>
      </w:pPr>
      <w:r>
        <w:rPr>
          <w:rFonts w:ascii="Times New Roman" w:hAnsi="Times New Roman"/>
          <w:szCs w:val="24"/>
        </w:rPr>
        <w:tab/>
        <w:t>Room: 206 CD</w:t>
      </w:r>
    </w:p>
    <w:p>
      <w:pPr>
        <w:pStyle w:val="Normal"/>
        <w:ind w:left="2160" w:hanging="2160"/>
        <w:rPr/>
      </w:pPr>
      <w:hyperlink r:id="rId11">
        <w:r>
          <w:rPr>
            <w:rStyle w:val="InternetLink"/>
            <w:rFonts w:ascii="Times New Roman" w:hAnsi="Times New Roman"/>
            <w:szCs w:val="24"/>
          </w:rPr>
          <w:t>GP11.00002</w:t>
        </w:r>
      </w:hyperlink>
      <w:r>
        <w:rPr>
          <w:rFonts w:ascii="Times New Roman" w:hAnsi="Times New Roman"/>
          <w:szCs w:val="24"/>
        </w:rPr>
        <w:t xml:space="preserve"> </w:t>
        <w:tab/>
      </w:r>
      <w:hyperlink r:id="rId12">
        <w:r>
          <w:rPr>
            <w:rStyle w:val="InternetLink"/>
            <w:rFonts w:ascii="Times New Roman" w:hAnsi="Times New Roman"/>
            <w:szCs w:val="24"/>
          </w:rPr>
          <w:t>DIII-D: Closing the Gaps to Future Fusion Reactors</w:t>
        </w:r>
      </w:hyperlink>
    </w:p>
    <w:p>
      <w:pPr>
        <w:pStyle w:val="Default"/>
        <w:ind w:left="2160" w:hanging="2160"/>
        <w:rPr/>
      </w:pPr>
      <w:r>
        <w:rPr>
          <w:rFonts w:cs="Times New Roman" w:ascii="Times New Roman" w:hAnsi="Times New Roman"/>
          <w:b/>
          <w:sz w:val="24"/>
          <w:szCs w:val="24"/>
        </w:rPr>
        <w:t>Session</w:t>
        <w:tab/>
      </w:r>
      <w:hyperlink r:id="rId13">
        <w:r>
          <w:rPr>
            <w:rStyle w:val="InternetLink"/>
            <w:rFonts w:cs="Times New Roman" w:ascii="Times New Roman" w:hAnsi="Times New Roman"/>
            <w:sz w:val="24"/>
            <w:szCs w:val="24"/>
          </w:rPr>
          <w:t>GP11: Poster Session III: MFE: DIII-D, Low Temperature Plasma, FUND: Dusty Plasmas; Plasma Sources</w:t>
        </w:r>
      </w:hyperlink>
    </w:p>
    <w:p>
      <w:pPr>
        <w:pStyle w:val="Default"/>
        <w:ind w:left="1440" w:firstLine="720"/>
        <w:rPr/>
      </w:pPr>
      <w:hyperlink r:id="rId14">
        <w:r>
          <w:rPr>
            <w:rStyle w:val="ListLabel7"/>
            <w:rFonts w:cs="Times New Roman" w:ascii="Times New Roman" w:hAnsi="Times New Roman"/>
            <w:sz w:val="24"/>
            <w:szCs w:val="24"/>
          </w:rPr>
          <w:t>9:30 AM–12:30 PM, Tuesday, October 18, 2022</w:t>
        </w:r>
      </w:hyperlink>
    </w:p>
    <w:p>
      <w:pPr>
        <w:pStyle w:val="Normal"/>
        <w:ind w:left="2160" w:hanging="2160"/>
        <w:rPr>
          <w:rFonts w:ascii="Times New Roman" w:hAnsi="Times New Roman"/>
          <w:szCs w:val="24"/>
        </w:rPr>
      </w:pPr>
      <w:r>
        <w:rPr>
          <w:rFonts w:ascii="Times New Roman" w:hAnsi="Times New Roman"/>
          <w:szCs w:val="24"/>
        </w:rPr>
        <w:tab/>
        <w:t>Room: Exhibit Hall A and Online</w:t>
      </w:r>
    </w:p>
    <w:p>
      <w:pPr>
        <w:pStyle w:val="Normal"/>
        <w:ind w:left="2160" w:hanging="2160"/>
        <w:rPr>
          <w:rFonts w:ascii="Times New Roman" w:hAnsi="Times New Roman"/>
          <w:szCs w:val="24"/>
        </w:rPr>
      </w:pPr>
      <w:r>
        <w:rPr>
          <w:rFonts w:ascii="Times New Roman" w:hAnsi="Times New Roman"/>
          <w:szCs w:val="24"/>
        </w:rPr>
      </w:r>
    </w:p>
    <w:p>
      <w:pPr>
        <w:pStyle w:val="Normal"/>
        <w:ind w:left="2160" w:hanging="2160"/>
        <w:rPr>
          <w:rFonts w:ascii="Times New Roman" w:hAnsi="Times New Roman"/>
          <w:b/>
          <w:b/>
          <w:bCs/>
          <w:szCs w:val="24"/>
        </w:rPr>
      </w:pPr>
      <w:r>
        <w:rPr>
          <w:rFonts w:ascii="Times New Roman" w:hAnsi="Times New Roman"/>
          <w:b/>
          <w:bCs/>
          <w:szCs w:val="24"/>
        </w:rPr>
        <w:t>Mark Koepke</w:t>
      </w:r>
    </w:p>
    <w:p>
      <w:pPr>
        <w:pStyle w:val="Normal"/>
        <w:ind w:left="2160" w:hanging="2160"/>
        <w:rPr/>
      </w:pPr>
      <w:hyperlink r:id="rId15">
        <w:r>
          <w:rPr>
            <w:rStyle w:val="InternetLink"/>
            <w:rFonts w:ascii="Times New Roman" w:hAnsi="Times New Roman"/>
            <w:szCs w:val="24"/>
          </w:rPr>
          <w:t>PM09.00010</w:t>
        </w:r>
      </w:hyperlink>
      <w:r>
        <w:rPr>
          <w:rFonts w:ascii="Times New Roman" w:hAnsi="Times New Roman"/>
          <w:szCs w:val="24"/>
        </w:rPr>
        <w:t xml:space="preserve"> </w:t>
        <w:tab/>
      </w:r>
      <w:hyperlink r:id="rId16">
        <w:r>
          <w:rPr>
            <w:rStyle w:val="InternetLink"/>
            <w:rFonts w:ascii="Times New Roman" w:hAnsi="Times New Roman"/>
            <w:szCs w:val="24"/>
          </w:rPr>
          <w:t>Tokamak Energy is expanding, with INFUSE projects and increased collaboration with U.S. scientists</w:t>
        </w:r>
      </w:hyperlink>
    </w:p>
    <w:p>
      <w:pPr>
        <w:pStyle w:val="Default"/>
        <w:ind w:left="2160" w:hanging="2160"/>
        <w:rPr/>
      </w:pPr>
      <w:r>
        <w:rPr>
          <w:rFonts w:cs="Times New Roman" w:ascii="Times New Roman" w:hAnsi="Times New Roman"/>
          <w:b/>
          <w:sz w:val="24"/>
          <w:szCs w:val="24"/>
        </w:rPr>
        <w:t>Session</w:t>
        <w:tab/>
      </w:r>
      <w:hyperlink r:id="rId17">
        <w:r>
          <w:rPr>
            <w:rStyle w:val="InternetLink"/>
            <w:rFonts w:cs="Times New Roman" w:ascii="Times New Roman" w:hAnsi="Times New Roman"/>
            <w:sz w:val="24"/>
            <w:szCs w:val="24"/>
          </w:rPr>
          <w:t>PM09: Mini-Conference: Public-Private Partnerships for Fusion Energy IV</w:t>
        </w:r>
      </w:hyperlink>
    </w:p>
    <w:p>
      <w:pPr>
        <w:pStyle w:val="Default"/>
        <w:ind w:left="1440" w:firstLine="720"/>
        <w:rPr>
          <w:rFonts w:ascii="Times New Roman" w:hAnsi="Times New Roman" w:cs="Times New Roman"/>
          <w:sz w:val="24"/>
          <w:szCs w:val="24"/>
        </w:rPr>
      </w:pPr>
      <w:r>
        <w:rPr>
          <w:rFonts w:cs="Times New Roman" w:ascii="Times New Roman" w:hAnsi="Times New Roman"/>
          <w:sz w:val="24"/>
          <w:szCs w:val="24"/>
        </w:rPr>
        <w:t>11:30 AM–11:45 AM, Monday, October 17, 2022</w:t>
      </w:r>
    </w:p>
    <w:p>
      <w:pPr>
        <w:pStyle w:val="Normal"/>
        <w:ind w:left="2160" w:hanging="2160"/>
        <w:rPr>
          <w:rFonts w:ascii="Times New Roman" w:hAnsi="Times New Roman"/>
          <w:szCs w:val="24"/>
        </w:rPr>
      </w:pPr>
      <w:r>
        <w:rPr>
          <w:rFonts w:ascii="Times New Roman" w:hAnsi="Times New Roman"/>
          <w:szCs w:val="24"/>
        </w:rPr>
        <w:tab/>
        <w:t>Room: 206 CD</w:t>
      </w:r>
    </w:p>
    <w:p>
      <w:pPr>
        <w:pStyle w:val="Normal"/>
        <w:ind w:left="2160" w:hanging="2160"/>
        <w:rPr>
          <w:rFonts w:ascii="Times New Roman" w:hAnsi="Times New Roman"/>
          <w:szCs w:val="24"/>
        </w:rPr>
      </w:pPr>
      <w:r>
        <w:rPr>
          <w:rFonts w:ascii="Times New Roman" w:hAnsi="Times New Roman"/>
          <w:szCs w:val="24"/>
        </w:rPr>
      </w:r>
    </w:p>
    <w:p>
      <w:pPr>
        <w:pStyle w:val="Normal"/>
        <w:ind w:left="2160" w:hanging="2160"/>
        <w:rPr>
          <w:rFonts w:ascii="Times New Roman" w:hAnsi="Times New Roman"/>
          <w:b/>
          <w:b/>
          <w:bCs/>
          <w:szCs w:val="24"/>
        </w:rPr>
      </w:pPr>
      <w:r>
        <w:rPr>
          <w:rFonts w:ascii="Times New Roman" w:hAnsi="Times New Roman"/>
          <w:b/>
          <w:bCs/>
          <w:szCs w:val="24"/>
        </w:rPr>
        <w:t>Carlos Romero Talamas</w:t>
      </w:r>
    </w:p>
    <w:p>
      <w:pPr>
        <w:pStyle w:val="Normal"/>
        <w:ind w:left="2160" w:hanging="2160"/>
        <w:rPr/>
      </w:pPr>
      <w:hyperlink r:id="rId18">
        <w:r>
          <w:rPr>
            <w:rStyle w:val="InternetLink"/>
            <w:rFonts w:ascii="Times New Roman" w:hAnsi="Times New Roman"/>
            <w:szCs w:val="24"/>
          </w:rPr>
          <w:t>JM09.00005</w:t>
        </w:r>
      </w:hyperlink>
      <w:r>
        <w:rPr>
          <w:rFonts w:ascii="Times New Roman" w:hAnsi="Times New Roman"/>
          <w:szCs w:val="24"/>
        </w:rPr>
        <w:tab/>
      </w:r>
      <w:hyperlink r:id="rId19">
        <w:r>
          <w:rPr>
            <w:rStyle w:val="InternetLink"/>
            <w:rFonts w:ascii="Times New Roman" w:hAnsi="Times New Roman"/>
            <w:szCs w:val="24"/>
          </w:rPr>
          <w:t>The Roadmap to Fusion Energy for the Centrifugal Mirror</w:t>
        </w:r>
      </w:hyperlink>
    </w:p>
    <w:p>
      <w:pPr>
        <w:pStyle w:val="Default"/>
        <w:ind w:left="2160" w:hanging="2160"/>
        <w:rPr/>
      </w:pPr>
      <w:r>
        <w:rPr>
          <w:rFonts w:cs="Times New Roman" w:ascii="Times New Roman" w:hAnsi="Times New Roman"/>
          <w:b/>
          <w:sz w:val="24"/>
          <w:szCs w:val="24"/>
        </w:rPr>
        <w:t>Session</w:t>
        <w:tab/>
      </w:r>
      <w:hyperlink r:id="rId20">
        <w:r>
          <w:rPr>
            <w:rStyle w:val="InternetLink"/>
            <w:rFonts w:cs="Times New Roman" w:ascii="Times New Roman" w:hAnsi="Times New Roman"/>
            <w:sz w:val="24"/>
            <w:szCs w:val="24"/>
          </w:rPr>
          <w:t>JM09: Mini-Conference: Public-Private Partnerships for Fusion Energy II</w:t>
        </w:r>
      </w:hyperlink>
    </w:p>
    <w:p>
      <w:pPr>
        <w:pStyle w:val="Default"/>
        <w:ind w:left="1440" w:firstLine="720"/>
        <w:rPr>
          <w:rFonts w:ascii="Times New Roman" w:hAnsi="Times New Roman" w:cs="Times New Roman"/>
          <w:sz w:val="24"/>
          <w:szCs w:val="24"/>
        </w:rPr>
      </w:pPr>
      <w:r>
        <w:rPr>
          <w:rFonts w:cs="Times New Roman" w:ascii="Times New Roman" w:hAnsi="Times New Roman"/>
          <w:sz w:val="24"/>
          <w:szCs w:val="24"/>
        </w:rPr>
        <w:t>2:00 AM–5:00 PM, Tuesday, October 18, 2022</w:t>
      </w:r>
    </w:p>
    <w:p>
      <w:pPr>
        <w:pStyle w:val="Normal"/>
        <w:ind w:left="2160" w:hanging="2160"/>
        <w:rPr>
          <w:rFonts w:ascii="Times New Roman" w:hAnsi="Times New Roman"/>
          <w:szCs w:val="24"/>
        </w:rPr>
      </w:pPr>
      <w:r>
        <w:rPr>
          <w:rFonts w:ascii="Times New Roman" w:hAnsi="Times New Roman"/>
          <w:szCs w:val="24"/>
        </w:rPr>
        <w:tab/>
        <w:t>Room: 206 AB</w:t>
      </w:r>
    </w:p>
    <w:p>
      <w:pPr>
        <w:pStyle w:val="Normal"/>
        <w:ind w:left="2160" w:hanging="2160"/>
        <w:rPr/>
      </w:pPr>
      <w:hyperlink r:id="rId21">
        <w:r>
          <w:rPr>
            <w:rStyle w:val="InternetLink"/>
            <w:rFonts w:ascii="Times New Roman" w:hAnsi="Times New Roman"/>
            <w:szCs w:val="24"/>
          </w:rPr>
          <w:t>TP11.00065</w:t>
        </w:r>
      </w:hyperlink>
      <w:r>
        <w:rPr>
          <w:rFonts w:ascii="Times New Roman" w:hAnsi="Times New Roman"/>
          <w:szCs w:val="24"/>
        </w:rPr>
        <w:t xml:space="preserve"> </w:t>
        <w:tab/>
      </w:r>
      <w:hyperlink r:id="rId22">
        <w:r>
          <w:rPr>
            <w:rStyle w:val="InternetLink"/>
            <w:rFonts w:ascii="Times New Roman" w:hAnsi="Times New Roman"/>
            <w:szCs w:val="24"/>
          </w:rPr>
          <w:t>Overview of the Centrifugal Mirror Fusion Experiment (CMFX)</w:t>
        </w:r>
      </w:hyperlink>
    </w:p>
    <w:p>
      <w:pPr>
        <w:pStyle w:val="Default"/>
        <w:ind w:left="2160" w:hanging="2160"/>
        <w:rPr/>
      </w:pPr>
      <w:r>
        <w:rPr>
          <w:rFonts w:cs="Times New Roman" w:ascii="Times New Roman" w:hAnsi="Times New Roman"/>
          <w:b/>
          <w:sz w:val="24"/>
          <w:szCs w:val="24"/>
        </w:rPr>
        <w:t>Session</w:t>
        <w:tab/>
      </w:r>
      <w:hyperlink r:id="rId23">
        <w:r>
          <w:rPr>
            <w:rStyle w:val="InternetLink"/>
            <w:rFonts w:cs="Times New Roman" w:ascii="Times New Roman" w:hAnsi="Times New Roman"/>
            <w:sz w:val="24"/>
            <w:szCs w:val="24"/>
          </w:rPr>
          <w:t>TP11: Poster Session VII: MFE: FRC, RFPs etc. ICF: Fast Ignition; Diagnostics; Computational; Laser Plasma Interactions. FUND: Computation</w:t>
        </w:r>
      </w:hyperlink>
    </w:p>
    <w:p>
      <w:pPr>
        <w:pStyle w:val="Default"/>
        <w:ind w:left="1440" w:firstLine="720"/>
        <w:rPr>
          <w:rFonts w:ascii="Times New Roman" w:hAnsi="Times New Roman" w:cs="Times New Roman"/>
          <w:sz w:val="24"/>
          <w:szCs w:val="24"/>
        </w:rPr>
      </w:pPr>
      <w:r>
        <w:rPr>
          <w:rFonts w:cs="Times New Roman" w:ascii="Times New Roman" w:hAnsi="Times New Roman"/>
          <w:sz w:val="24"/>
          <w:szCs w:val="24"/>
        </w:rPr>
        <w:t>9:30 AM–12:30 PM, Thursday, October 20, 2022</w:t>
      </w:r>
    </w:p>
    <w:p>
      <w:pPr>
        <w:pStyle w:val="Normal"/>
        <w:ind w:left="2160" w:hanging="2160"/>
        <w:rPr>
          <w:rFonts w:ascii="Times New Roman" w:hAnsi="Times New Roman"/>
          <w:szCs w:val="24"/>
        </w:rPr>
      </w:pPr>
      <w:r>
        <w:rPr>
          <w:rFonts w:ascii="Times New Roman" w:hAnsi="Times New Roman"/>
          <w:szCs w:val="24"/>
        </w:rPr>
        <w:tab/>
        <w:t>Room: Exhibit Hall A and Online</w:t>
      </w:r>
    </w:p>
    <w:p>
      <w:pPr>
        <w:pStyle w:val="Normal"/>
        <w:ind w:left="2160" w:hanging="2160"/>
        <w:rPr>
          <w:rFonts w:ascii="Abadi Extra Light" w:hAnsi="Abadi Extra Light"/>
          <w:szCs w:val="24"/>
        </w:rPr>
      </w:pPr>
      <w:r>
        <w:rPr>
          <w:rFonts w:ascii="Abadi Extra Light" w:hAnsi="Abadi Extra Light"/>
          <w:szCs w:val="24"/>
        </w:rPr>
      </w:r>
    </w:p>
    <w:p>
      <w:pPr>
        <w:pStyle w:val="Normal"/>
        <w:ind w:left="2160" w:hanging="2160"/>
        <w:rPr/>
      </w:pPr>
      <w:r>
        <w:rPr/>
      </w:r>
    </w:p>
    <w:sectPr>
      <w:type w:val="nextPage"/>
      <w:pgSz w:w="12240" w:h="15840"/>
      <w:pgMar w:left="1800" w:right="180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w:altName w:val="Times New Roman"/>
    <w:charset w:val="01"/>
    <w:family w:val="roman"/>
    <w:pitch w:val="variable"/>
  </w:font>
  <w:font w:name="Times New Roman">
    <w:charset w:val="01"/>
    <w:family w:val="roman"/>
    <w:pitch w:val="variable"/>
  </w:font>
  <w:font w:name="Liberation Sans">
    <w:altName w:val="Arial"/>
    <w:charset w:val="01"/>
    <w:family w:val="roman"/>
    <w:pitch w:val="variable"/>
  </w:font>
  <w:font w:name="Tahoma">
    <w:charset w:val="01"/>
    <w:family w:val="roman"/>
    <w:pitch w:val="variable"/>
  </w:font>
  <w:font w:name="Calibri">
    <w:charset w:val="01"/>
    <w:family w:val="roman"/>
    <w:pitch w:val="variable"/>
  </w:font>
  <w:font w:name="Helvetica">
    <w:altName w:val="Arial"/>
    <w:charset w:val="01"/>
    <w:family w:val="roman"/>
    <w:pitch w:val="variable"/>
  </w:font>
  <w:font w:name="Arial">
    <w:charset w:val="01"/>
    <w:family w:val="roman"/>
    <w:pitch w:val="variable"/>
  </w:font>
  <w:font w:name="Abadi Extra Light">
    <w:charset w:val="01"/>
    <w:family w:val="roman"/>
    <w:pitch w:val="variable"/>
  </w:font>
</w:fonts>
</file>

<file path=word/settings.xml><?xml version="1.0" encoding="utf-8"?>
<w:settings xmlns:w="http://schemas.openxmlformats.org/wordprocessingml/2006/main">
  <w:zoom w:percent="100"/>
  <w:embedSystemFonts/>
  <w:defaultTabStop w:val="72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w:hAnsi="Times" w:eastAsia="Times" w:cs="Times New Roman"/>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Times" w:hAnsi="Times" w:eastAsia="Times" w:cs="Times New Roman"/>
      <w:color w:val="auto"/>
      <w:kern w:val="0"/>
      <w:sz w:val="24"/>
      <w:szCs w:val="20"/>
      <w:lang w:val="en-US" w:eastAsia="en-US" w:bidi="ar-SA"/>
    </w:rPr>
  </w:style>
  <w:style w:type="paragraph" w:styleId="Heading3">
    <w:name w:val="Heading 3"/>
    <w:basedOn w:val="Normal"/>
    <w:qFormat/>
    <w:rsid w:val="00193b3c"/>
    <w:pPr>
      <w:spacing w:beforeAutospacing="1" w:afterAutospacing="1"/>
      <w:outlineLvl w:val="2"/>
    </w:pPr>
    <w:rPr>
      <w:rFonts w:ascii="Times New Roman" w:hAnsi="Times New Roman" w:eastAsia="SimSun"/>
      <w:b/>
      <w:bCs/>
      <w:sz w:val="27"/>
      <w:szCs w:val="27"/>
      <w:lang w:eastAsia="zh-CN"/>
    </w:rPr>
  </w:style>
  <w:style w:type="character" w:styleId="DefaultParagraphFont" w:default="1">
    <w:name w:val="Default Paragraph Font"/>
    <w:uiPriority w:val="1"/>
    <w:semiHidden/>
    <w:unhideWhenUsed/>
    <w:qFormat/>
    <w:rPr/>
  </w:style>
  <w:style w:type="character" w:styleId="InternetLink">
    <w:name w:val="Internet Link"/>
    <w:rPr>
      <w:color w:val="0000FF"/>
      <w:u w:val="single"/>
    </w:rPr>
  </w:style>
  <w:style w:type="character" w:styleId="FollowedHyperlink">
    <w:name w:val="FollowedHyperlink"/>
    <w:qFormat/>
    <w:rsid w:val="00970951"/>
    <w:rPr>
      <w:color w:val="800080"/>
      <w:u w:val="single"/>
    </w:rPr>
  </w:style>
  <w:style w:type="character" w:styleId="Annotationreference">
    <w:name w:val="annotation reference"/>
    <w:basedOn w:val="DefaultParagraphFont"/>
    <w:uiPriority w:val="99"/>
    <w:semiHidden/>
    <w:unhideWhenUsed/>
    <w:qFormat/>
    <w:rsid w:val="00104822"/>
    <w:rPr>
      <w:sz w:val="16"/>
      <w:szCs w:val="16"/>
    </w:rPr>
  </w:style>
  <w:style w:type="character" w:styleId="CommentTextChar" w:customStyle="1">
    <w:name w:val="Comment Text Char"/>
    <w:basedOn w:val="DefaultParagraphFont"/>
    <w:link w:val="CommentText"/>
    <w:uiPriority w:val="99"/>
    <w:semiHidden/>
    <w:qFormat/>
    <w:rsid w:val="00104822"/>
    <w:rPr/>
  </w:style>
  <w:style w:type="character" w:styleId="CommentSubjectChar" w:customStyle="1">
    <w:name w:val="Comment Subject Char"/>
    <w:basedOn w:val="CommentTextChar"/>
    <w:link w:val="CommentSubject"/>
    <w:uiPriority w:val="99"/>
    <w:semiHidden/>
    <w:qFormat/>
    <w:rsid w:val="00104822"/>
    <w:rPr>
      <w:b/>
      <w:bCs/>
    </w:rPr>
  </w:style>
  <w:style w:type="character" w:styleId="UnresolvedMention">
    <w:name w:val="Unresolved Mention"/>
    <w:basedOn w:val="DefaultParagraphFont"/>
    <w:uiPriority w:val="99"/>
    <w:semiHidden/>
    <w:unhideWhenUsed/>
    <w:qFormat/>
    <w:rsid w:val="00504bbb"/>
    <w:rPr>
      <w:color w:val="605E5C"/>
      <w:shd w:fill="E1DFDD" w:val="clear"/>
    </w:rPr>
  </w:style>
  <w:style w:type="character" w:styleId="ListLabel1">
    <w:name w:val="ListLabel 1"/>
    <w:qFormat/>
    <w:rPr>
      <w:rFonts w:ascii="Times New Roman" w:hAnsi="Times New Roman"/>
      <w:szCs w:val="24"/>
    </w:rPr>
  </w:style>
  <w:style w:type="character" w:styleId="ListLabel2">
    <w:name w:val="ListLabel 2"/>
    <w:qFormat/>
    <w:rPr>
      <w:rFonts w:ascii="Times New Roman" w:hAnsi="Times New Roman"/>
      <w:color w:val="1155CC"/>
      <w:szCs w:val="24"/>
    </w:rPr>
  </w:style>
  <w:style w:type="character" w:styleId="ListLabel3">
    <w:name w:val="ListLabel 3"/>
    <w:qFormat/>
    <w:rPr/>
  </w:style>
  <w:style w:type="character" w:styleId="ListLabel4">
    <w:name w:val="ListLabel 4"/>
    <w:qFormat/>
    <w:rPr>
      <w:rFonts w:ascii="Times New Roman" w:hAnsi="Times New Roman" w:cs="Times New Roman"/>
      <w:sz w:val="24"/>
      <w:szCs w:val="24"/>
    </w:rPr>
  </w:style>
  <w:style w:type="character" w:styleId="ListLabel5">
    <w:name w:val="ListLabel 5"/>
    <w:qFormat/>
    <w:rPr>
      <w:rFonts w:ascii="Times New Roman" w:hAnsi="Times New Roman"/>
      <w:szCs w:val="24"/>
    </w:rPr>
  </w:style>
  <w:style w:type="character" w:styleId="ListLabel6">
    <w:name w:val="ListLabel 6"/>
    <w:qFormat/>
    <w:rPr>
      <w:rFonts w:ascii="Times New Roman" w:hAnsi="Times New Roman"/>
      <w:color w:val="0000FF"/>
      <w:szCs w:val="24"/>
    </w:rPr>
  </w:style>
  <w:style w:type="character" w:styleId="ListLabel7">
    <w:name w:val="ListLabel 7"/>
    <w:qFormat/>
    <w:rPr>
      <w:rFonts w:ascii="Times New Roman" w:hAnsi="Times New Roman" w:cs="Times New Roman"/>
      <w:sz w:val="24"/>
      <w:szCs w:val="24"/>
    </w:rPr>
  </w:style>
  <w:style w:type="character" w:styleId="ListLabel8">
    <w:name w:val="ListLabel 8"/>
    <w:qFormat/>
    <w:rPr>
      <w:rFonts w:ascii="Times New Roman" w:hAnsi="Times New Roman" w:cs="Times New Roman"/>
      <w:sz w:val="24"/>
      <w:szCs w:val="24"/>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jc w:val="both"/>
    </w:pPr>
    <w:rPr>
      <w:i/>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qFormat/>
    <w:pPr>
      <w:jc w:val="center"/>
      <w:outlineLvl w:val="0"/>
    </w:pPr>
    <w:rPr>
      <w:b/>
      <w:sz w:val="28"/>
    </w:rPr>
  </w:style>
  <w:style w:type="paragraph" w:styleId="TextBodyIndent">
    <w:name w:val="Body Text Indent"/>
    <w:basedOn w:val="Normal"/>
    <w:pPr>
      <w:ind w:firstLine="720"/>
      <w:jc w:val="both"/>
    </w:pPr>
    <w:rPr/>
  </w:style>
  <w:style w:type="paragraph" w:styleId="BodyText2">
    <w:name w:val="Body Text 2"/>
    <w:basedOn w:val="Normal"/>
    <w:qFormat/>
    <w:pPr>
      <w:jc w:val="both"/>
    </w:pPr>
    <w:rPr/>
  </w:style>
  <w:style w:type="paragraph" w:styleId="BalloonText">
    <w:name w:val="Balloon Text"/>
    <w:basedOn w:val="Normal"/>
    <w:semiHidden/>
    <w:qFormat/>
    <w:rsid w:val="002c1c5c"/>
    <w:pPr/>
    <w:rPr>
      <w:rFonts w:ascii="Tahoma" w:hAnsi="Tahoma" w:cs="Tahoma"/>
      <w:sz w:val="16"/>
      <w:szCs w:val="16"/>
    </w:rPr>
  </w:style>
  <w:style w:type="paragraph" w:styleId="NormalWeb">
    <w:name w:val="Normal (Web)"/>
    <w:basedOn w:val="Normal"/>
    <w:qFormat/>
    <w:rsid w:val="00193b3c"/>
    <w:pPr>
      <w:spacing w:beforeAutospacing="1" w:afterAutospacing="1"/>
    </w:pPr>
    <w:rPr>
      <w:rFonts w:ascii="Times New Roman" w:hAnsi="Times New Roman" w:eastAsia="SimSun"/>
      <w:szCs w:val="24"/>
      <w:lang w:eastAsia="zh-CN"/>
    </w:rPr>
  </w:style>
  <w:style w:type="paragraph" w:styleId="Annotationtext">
    <w:name w:val="annotation text"/>
    <w:basedOn w:val="Normal"/>
    <w:link w:val="CommentTextChar"/>
    <w:uiPriority w:val="99"/>
    <w:semiHidden/>
    <w:unhideWhenUsed/>
    <w:qFormat/>
    <w:rsid w:val="00104822"/>
    <w:pPr/>
    <w:rPr>
      <w:sz w:val="20"/>
    </w:rPr>
  </w:style>
  <w:style w:type="paragraph" w:styleId="Annotationsubject">
    <w:name w:val="annotation subject"/>
    <w:basedOn w:val="Annotationtext"/>
    <w:link w:val="CommentSubjectChar"/>
    <w:uiPriority w:val="99"/>
    <w:semiHidden/>
    <w:unhideWhenUsed/>
    <w:qFormat/>
    <w:rsid w:val="00104822"/>
    <w:pPr/>
    <w:rPr>
      <w:b/>
      <w:bCs/>
    </w:rPr>
  </w:style>
  <w:style w:type="paragraph" w:styleId="Revision">
    <w:name w:val="Revision"/>
    <w:uiPriority w:val="99"/>
    <w:semiHidden/>
    <w:qFormat/>
    <w:rsid w:val="009828b9"/>
    <w:pPr>
      <w:widowControl/>
      <w:bidi w:val="0"/>
      <w:jc w:val="left"/>
    </w:pPr>
    <w:rPr>
      <w:rFonts w:ascii="Times" w:hAnsi="Times" w:eastAsia="Times" w:cs="Times New Roman"/>
      <w:color w:val="auto"/>
      <w:kern w:val="0"/>
      <w:sz w:val="24"/>
      <w:szCs w:val="20"/>
      <w:lang w:val="en-US" w:eastAsia="en-US" w:bidi="ar-SA"/>
    </w:rPr>
  </w:style>
  <w:style w:type="paragraph" w:styleId="BodyAAA" w:customStyle="1">
    <w:name w:val="Body A A A"/>
    <w:qFormat/>
    <w:rsid w:val="009d441b"/>
    <w:pPr>
      <w:widowControl w:val="false"/>
      <w:bidi w:val="0"/>
      <w:jc w:val="left"/>
    </w:pPr>
    <w:rPr>
      <w:rFonts w:ascii="Calibri" w:hAnsi="Calibri" w:eastAsia="Calibri" w:cs="Calibri"/>
      <w:color w:val="000000"/>
      <w:kern w:val="0"/>
      <w:sz w:val="22"/>
      <w:szCs w:val="22"/>
      <w:u w:val="none" w:color="000000"/>
      <w:lang w:val="en-US" w:eastAsia="en-US" w:bidi="ar-SA"/>
    </w:rPr>
  </w:style>
  <w:style w:type="paragraph" w:styleId="Default" w:customStyle="1">
    <w:name w:val="Default"/>
    <w:qFormat/>
    <w:rsid w:val="009d441b"/>
    <w:pPr>
      <w:widowControl/>
      <w:bidi w:val="0"/>
      <w:jc w:val="left"/>
    </w:pPr>
    <w:rPr>
      <w:rFonts w:ascii="Helvetica" w:hAnsi="Helvetica" w:eastAsia="Helvetica" w:cs="Helvetica"/>
      <w:color w:val="000000"/>
      <w:kern w:val="0"/>
      <w:sz w:val="22"/>
      <w:szCs w:val="22"/>
      <w:u w:val="none" w:color="000000"/>
      <w:lang w:val="en-US" w:eastAsia="en-US" w:bidi="ar-SA"/>
    </w:rPr>
  </w:style>
  <w:style w:type="paragraph" w:styleId="Caption1">
    <w:name w:val="caption"/>
    <w:basedOn w:val="Normal"/>
    <w:next w:val="Normal"/>
    <w:uiPriority w:val="35"/>
    <w:unhideWhenUsed/>
    <w:qFormat/>
    <w:rsid w:val="009d441b"/>
    <w:pPr>
      <w:spacing w:before="0" w:after="200"/>
    </w:pPr>
    <w:rPr>
      <w:b/>
      <w:bCs/>
      <w:color w:val="4F81BD" w:themeColor="accent1"/>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buttery@fusion.gat.com" TargetMode="External"/><Relationship Id="rId5" Type="http://schemas.openxmlformats.org/officeDocument/2006/relationships/hyperlink" Target="mailto:Mark.Koepke@tokamakenergy.com" TargetMode="External"/><Relationship Id="rId6" Type="http://schemas.openxmlformats.org/officeDocument/2006/relationships/hyperlink" Target="mailto:romero@umbc.edu" TargetMode="External"/><Relationship Id="rId7" Type="http://schemas.openxmlformats.org/officeDocument/2006/relationships/hyperlink" Target="https://meetings.aps.org/Meeting/DPP22/Session/PM10.6" TargetMode="External"/><Relationship Id="rId8" Type="http://schemas.openxmlformats.org/officeDocument/2006/relationships/hyperlink" Target="https://meetings.aps.org/Meeting/DPP22/Session/PM10.6" TargetMode="External"/><Relationship Id="rId9" Type="http://schemas.openxmlformats.org/officeDocument/2006/relationships/hyperlink" Target="https://meetings.aps.org/Meeting/DPP22/Session/GP11" TargetMode="External"/><Relationship Id="rId10" Type="http://schemas.openxmlformats.org/officeDocument/2006/relationships/hyperlink" Target="https://meetings.aps.org/Meeting/DPP22/Session/GP11" TargetMode="External"/><Relationship Id="rId11" Type="http://schemas.openxmlformats.org/officeDocument/2006/relationships/hyperlink" Target="https://meetings.aps.org/Meeting/DPP22/Session/GP11.2" TargetMode="External"/><Relationship Id="rId12" Type="http://schemas.openxmlformats.org/officeDocument/2006/relationships/hyperlink" Target="https://meetings.aps.org/Meeting/DPP22/Session/GP11.2" TargetMode="External"/><Relationship Id="rId13" Type="http://schemas.openxmlformats.org/officeDocument/2006/relationships/hyperlink" Target="https://meetings.aps.org/Meeting/DPP22/Session/GP11" TargetMode="External"/><Relationship Id="rId14" Type="http://schemas.openxmlformats.org/officeDocument/2006/relationships/hyperlink" Target="https://meetings.aps.org/Meeting/DPP22/Session/GP11" TargetMode="External"/><Relationship Id="rId15" Type="http://schemas.openxmlformats.org/officeDocument/2006/relationships/hyperlink" Target="https://meetings.aps.org/Meeting/DPP22/Session/PM09.10" TargetMode="External"/><Relationship Id="rId16" Type="http://schemas.openxmlformats.org/officeDocument/2006/relationships/hyperlink" Target="https://meetings.aps.org/Meeting/DPP22/Session/PM09.10" TargetMode="External"/><Relationship Id="rId17" Type="http://schemas.openxmlformats.org/officeDocument/2006/relationships/hyperlink" Target="https://meetings.aps.org/Meeting/DPP22/Session/PM09" TargetMode="External"/><Relationship Id="rId18" Type="http://schemas.openxmlformats.org/officeDocument/2006/relationships/hyperlink" Target="https://meetings.aps.org/Meeting/DPP22/Session/JM09.5" TargetMode="External"/><Relationship Id="rId19" Type="http://schemas.openxmlformats.org/officeDocument/2006/relationships/hyperlink" Target="https://meetings.aps.org/Meeting/DPP22/Session/JM09.5" TargetMode="External"/><Relationship Id="rId20" Type="http://schemas.openxmlformats.org/officeDocument/2006/relationships/hyperlink" Target="https://meetings.aps.org/Meeting/DPP22/Session/JM09" TargetMode="External"/><Relationship Id="rId21" Type="http://schemas.openxmlformats.org/officeDocument/2006/relationships/hyperlink" Target="https://meetings.aps.org/Meeting/DPP22/Session/TP11.65" TargetMode="External"/><Relationship Id="rId22" Type="http://schemas.openxmlformats.org/officeDocument/2006/relationships/hyperlink" Target="https://meetings.aps.org/Meeting/DPP22/Session/TP11.65" TargetMode="External"/><Relationship Id="rId23" Type="http://schemas.openxmlformats.org/officeDocument/2006/relationships/hyperlink" Target="https://meetings.aps.org/Meeting/DPP22/Session/TP11" TargetMode="Externa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3809-5DEE-479F-978D-08933E9B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Application>LibreOffice/6.0.7.3$Linux_X86_64 LibreOffice_project/00m0$Build-3</Application>
  <Pages>4</Pages>
  <Words>1004</Words>
  <Characters>5891</Characters>
  <CharactersWithSpaces>6867</CharactersWithSpaces>
  <Paragraphs>39</Paragraphs>
  <Company>MIT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2022-10-04T21:23:00Z</dcterms:created>
  <dc:creator>Brian Labombard</dc:creator>
  <dc:description/>
  <dc:language>en-US</dc:language>
  <cp:lastModifiedBy/>
  <cp:lastPrinted>2007-10-18T04:35:00Z</cp:lastPrinted>
  <dcterms:modified xsi:type="dcterms:W3CDTF">2022-10-13T14:38:21Z</dcterms:modified>
  <cp:revision>12</cp:revision>
  <dc:subject/>
  <dc:title>Fusion power reactors are evolving to have legs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