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50FA" w14:textId="3295F194" w:rsidR="00D23E71" w:rsidRPr="00670152" w:rsidRDefault="00D23E71" w:rsidP="00D23E71">
      <w:pPr>
        <w:rPr>
          <w:rFonts w:ascii="Times New Roman" w:hAnsi="Times New Roman" w:cs="Times New Roman"/>
          <w:sz w:val="24"/>
          <w:szCs w:val="24"/>
        </w:rPr>
      </w:pPr>
      <w:bookmarkStart w:id="0" w:name="_Hlk141177033"/>
      <w:bookmarkEnd w:id="0"/>
      <w:r w:rsidRPr="006701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6180C0" wp14:editId="60951240">
            <wp:extent cx="1847215" cy="548640"/>
            <wp:effectExtent l="0" t="0" r="635" b="3810"/>
            <wp:docPr id="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C2725" w14:textId="3209202F" w:rsidR="00F63ECE" w:rsidRPr="00670152" w:rsidRDefault="00F63ECE" w:rsidP="00F63E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15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Date of last update:  </w:t>
      </w:r>
      <w:r w:rsidR="00856038" w:rsidRPr="0067015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Pr="0067015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</w:t>
      </w:r>
      <w:r w:rsidR="00856038" w:rsidRPr="0067015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Pr="0067015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/25</w:t>
      </w:r>
    </w:p>
    <w:p w14:paraId="5F32490E" w14:textId="34C81C31" w:rsidR="00926AC4" w:rsidRDefault="00F63ECE" w:rsidP="2E63B17B">
      <w:pPr>
        <w:rPr>
          <w:rFonts w:ascii="Times New Roman" w:hAnsi="Times New Roman" w:cs="Times New Roman"/>
          <w:b/>
          <w:bCs/>
          <w:color w:val="009DDC"/>
          <w:sz w:val="24"/>
          <w:szCs w:val="24"/>
        </w:rPr>
      </w:pPr>
      <w:r w:rsidRPr="00670152">
        <w:rPr>
          <w:rFonts w:ascii="Times New Roman" w:hAnsi="Times New Roman" w:cs="Times New Roman"/>
          <w:b/>
          <w:bCs/>
          <w:sz w:val="24"/>
          <w:szCs w:val="24"/>
        </w:rPr>
        <w:t>PLAYBOOK</w:t>
      </w:r>
      <w:r w:rsidRPr="00670152">
        <w:rPr>
          <w:rFonts w:ascii="Times New Roman" w:hAnsi="Times New Roman" w:cs="Times New Roman"/>
          <w:sz w:val="24"/>
          <w:szCs w:val="24"/>
        </w:rPr>
        <w:br/>
      </w:r>
      <w:r w:rsidRPr="00670152">
        <w:rPr>
          <w:rFonts w:ascii="Times New Roman" w:hAnsi="Times New Roman" w:cs="Times New Roman"/>
          <w:b/>
          <w:bCs/>
          <w:color w:val="009DDC"/>
          <w:sz w:val="24"/>
          <w:szCs w:val="24"/>
        </w:rPr>
        <w:t xml:space="preserve">Measles (Rubeola) </w:t>
      </w:r>
    </w:p>
    <w:p w14:paraId="14F4C017" w14:textId="77777777" w:rsidR="006D3A15" w:rsidRPr="00AB7718" w:rsidRDefault="006D3A15" w:rsidP="006D3A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7718">
        <w:rPr>
          <w:rFonts w:ascii="Times New Roman" w:hAnsi="Times New Roman" w:cs="Times New Roman"/>
          <w:b/>
          <w:bCs/>
          <w:sz w:val="24"/>
          <w:szCs w:val="24"/>
        </w:rPr>
        <w:t>Risk/Triage Scale – Level 2: Recommend increased awareness and planning</w:t>
      </w:r>
    </w:p>
    <w:p w14:paraId="0C79F2B9" w14:textId="7F5F9F47" w:rsidR="006D3A15" w:rsidRPr="00670152" w:rsidRDefault="006D3A15" w:rsidP="00AB7718">
      <w:pP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hyperlink r:id="rId12" w:history="1">
        <w:r w:rsidRPr="0067015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Texas DSHS Website</w:t>
        </w:r>
      </w:hyperlink>
      <w:r w:rsidRPr="0067015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: as of 2/26/25, 124 total cases since beginning of outbreak in January 2025; 1 death in unvaccinated school-aged child, 18 hospitalizations. </w:t>
      </w:r>
    </w:p>
    <w:p w14:paraId="401C339C" w14:textId="2C625B16" w:rsidR="006D3A15" w:rsidRPr="006D3A15" w:rsidRDefault="006D3A15" w:rsidP="00AB7718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history="1">
        <w:r w:rsidRPr="0067015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New Mexico DOH website</w:t>
        </w:r>
      </w:hyperlink>
      <w:r w:rsidRPr="0067015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as of 2/25/25</w:t>
      </w:r>
      <w:r w:rsidR="0039185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Pr="0067015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9 cases, all children</w:t>
      </w:r>
    </w:p>
    <w:p w14:paraId="7C9454A5" w14:textId="7B775D43" w:rsidR="00926AC4" w:rsidRPr="00670152" w:rsidRDefault="00926AC4" w:rsidP="00926AC4">
      <w:pPr>
        <w:shd w:val="clear" w:color="auto" w:fill="00B0F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70152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Background</w:t>
      </w:r>
    </w:p>
    <w:p w14:paraId="07493376" w14:textId="0683B60A" w:rsidR="009753AC" w:rsidRPr="00F57BF5" w:rsidRDefault="47A4DDF8" w:rsidP="2E63B17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0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Measles is a</w:t>
      </w:r>
      <w:r w:rsidR="20C19063" w:rsidRPr="00670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vaccine-preventable,</w:t>
      </w:r>
      <w:r w:rsidRPr="00670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highly contagious airborne disease that is easily spread, including in healthcare facilitie</w:t>
      </w:r>
      <w:r w:rsidR="00856038" w:rsidRPr="00670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701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70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where</w:t>
      </w:r>
      <w:r w:rsidRPr="00670152">
        <w:rPr>
          <w:rFonts w:ascii="Times New Roman" w:eastAsia="Times New Roman" w:hAnsi="Times New Roman" w:cs="Times New Roman"/>
          <w:sz w:val="24"/>
          <w:szCs w:val="24"/>
        </w:rPr>
        <w:t xml:space="preserve"> exposures can be significant and highly impacting</w:t>
      </w:r>
      <w:r w:rsidR="003F447B" w:rsidRPr="006701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70152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hyperlink r:id="rId14" w:history="1">
        <w:r w:rsidRPr="0067015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California, 2024</w:t>
        </w:r>
      </w:hyperlink>
      <w:r w:rsidRPr="00670152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670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Measles activity is currently expanding rapidly in the US</w:t>
      </w:r>
      <w:r w:rsidR="646AF552" w:rsidRPr="00670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15" w:history="1">
        <w:r w:rsidR="646AF552" w:rsidRPr="0067015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Measles Cases and Outbreaks | Measles (Rubeola) | CDC</w:t>
        </w:r>
      </w:hyperlink>
      <w:r w:rsidR="646AF552" w:rsidRPr="00670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2D821F61" w:rsidRPr="006701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2D821F61" w:rsidRPr="00F57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F57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outbreaks have involved measles exposures within healthcare settings, leading to secondary cases </w:t>
      </w:r>
      <w:r w:rsidR="3070C237" w:rsidRPr="00F57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additional</w:t>
      </w:r>
      <w:r w:rsidR="3CE11288" w:rsidRPr="00F57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72C6C29" w:rsidRPr="00F57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illness</w:t>
      </w:r>
      <w:r w:rsidRPr="00F57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F8492D" w14:textId="09A721F2" w:rsidR="009753AC" w:rsidRPr="00F57BF5" w:rsidRDefault="422491A8" w:rsidP="6F33BBF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best protection against measles is vaccination, which provides long-lasting protection.</w:t>
      </w:r>
    </w:p>
    <w:p w14:paraId="1B23AD8B" w14:textId="4C8E7EDC" w:rsidR="009753AC" w:rsidRPr="00F57BF5" w:rsidRDefault="47A4DDF8" w:rsidP="1AB573A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Infection preventionists need to ensure their healthcare facilities have protocols that aid in identifying, isolating, managing, and reporting suspected and known measles cases, including policies for occupational exposures.  </w:t>
      </w:r>
      <w:r w:rsidR="6E036791" w:rsidRPr="00F57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Additionally, healthcare personnel (HCP) should be up to date with measles vaccine or</w:t>
      </w:r>
      <w:r w:rsidR="5744F43E" w:rsidRPr="00F57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 immune, per CDC criteria.</w:t>
      </w:r>
    </w:p>
    <w:p w14:paraId="12C7CBE4" w14:textId="2EF6CD4E" w:rsidR="004C1DD7" w:rsidRPr="00670152" w:rsidRDefault="00AB7718" w:rsidP="2E63B17B">
      <w:pPr>
        <w:rPr>
          <w:rFonts w:ascii="Times New Roman" w:hAnsi="Times New Roman" w:cs="Times New Roman"/>
          <w:sz w:val="24"/>
          <w:szCs w:val="24"/>
        </w:rPr>
      </w:pPr>
      <w:r w:rsidRPr="00F57B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As </w:t>
      </w:r>
      <w:r w:rsidR="004C1DD7" w:rsidRPr="00F57B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of February </w:t>
      </w:r>
      <w:r w:rsidR="1577DCCA" w:rsidRPr="00F57B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28</w:t>
      </w:r>
      <w:r w:rsidR="004C1DD7" w:rsidRPr="00F57B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2025</w:t>
      </w:r>
      <w:r w:rsidRPr="00F57B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the United States</w:t>
      </w:r>
      <w:r w:rsidR="004C1DD7" w:rsidRPr="00F57B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34E13B82" w:rsidRPr="00F57B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164</w:t>
      </w:r>
      <w:r w:rsidR="004C1DD7" w:rsidRPr="00F57B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measles cases were reported by </w:t>
      </w:r>
      <w:r w:rsidR="000E085F" w:rsidRPr="00F57B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eight</w:t>
      </w:r>
      <w:r w:rsidR="004C1DD7" w:rsidRPr="00F57BF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jurisdictions: Alaska, California, Georgia, New Jersey, New Mexico, New York City, Rhode Island, and Texas</w:t>
      </w:r>
      <w:r w:rsidR="004C1DD7" w:rsidRPr="00670152">
        <w:rPr>
          <w:rFonts w:ascii="Times New Roman" w:hAnsi="Times New Roman" w:cs="Times New Roman"/>
          <w:color w:val="3F3F3F"/>
          <w:sz w:val="24"/>
          <w:szCs w:val="24"/>
          <w:lang w:val="en-GB"/>
        </w:rPr>
        <w:t xml:space="preserve"> (</w:t>
      </w:r>
      <w:hyperlink r:id="rId16" w:history="1">
        <w:r w:rsidR="004C1DD7" w:rsidRPr="0067015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CDC, 2025</w:t>
        </w:r>
      </w:hyperlink>
      <w:r w:rsidR="004C1DD7" w:rsidRPr="00670152">
        <w:rPr>
          <w:rFonts w:ascii="Times New Roman" w:hAnsi="Times New Roman" w:cs="Times New Roman"/>
          <w:color w:val="3F3F3F"/>
          <w:sz w:val="24"/>
          <w:szCs w:val="24"/>
          <w:lang w:val="en-GB"/>
        </w:rPr>
        <w:t>).</w:t>
      </w:r>
    </w:p>
    <w:p w14:paraId="2531D771" w14:textId="5B2D107C" w:rsidR="00F57BF5" w:rsidRPr="00F57BF5" w:rsidRDefault="00F57BF5" w:rsidP="00F57BF5">
      <w:pPr>
        <w:shd w:val="clear" w:color="auto" w:fill="00B0F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57BF5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Prioritized Audiences </w:t>
      </w:r>
    </w:p>
    <w:p w14:paraId="08CEB205" w14:textId="1653690B" w:rsidR="004821BF" w:rsidRDefault="004821BF">
      <w:p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Hospitals</w:t>
      </w:r>
      <w:r w:rsidR="000A4B80" w:rsidRPr="00670152">
        <w:rPr>
          <w:rFonts w:ascii="Times New Roman" w:hAnsi="Times New Roman" w:cs="Times New Roman"/>
          <w:sz w:val="24"/>
          <w:szCs w:val="24"/>
        </w:rPr>
        <w:t xml:space="preserve"> (</w:t>
      </w:r>
      <w:r w:rsidR="000E3125" w:rsidRPr="00670152">
        <w:rPr>
          <w:rFonts w:ascii="Times New Roman" w:hAnsi="Times New Roman" w:cs="Times New Roman"/>
          <w:sz w:val="24"/>
          <w:szCs w:val="24"/>
        </w:rPr>
        <w:t>e.g.</w:t>
      </w:r>
      <w:r w:rsidR="00DA7F68" w:rsidRPr="00670152">
        <w:rPr>
          <w:rFonts w:ascii="Times New Roman" w:hAnsi="Times New Roman" w:cs="Times New Roman"/>
          <w:sz w:val="24"/>
          <w:szCs w:val="24"/>
        </w:rPr>
        <w:t>,</w:t>
      </w:r>
      <w:r w:rsidR="000E3125"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="000A4B80" w:rsidRPr="00670152">
        <w:rPr>
          <w:rFonts w:ascii="Times New Roman" w:hAnsi="Times New Roman" w:cs="Times New Roman"/>
          <w:sz w:val="24"/>
          <w:szCs w:val="24"/>
        </w:rPr>
        <w:t>children</w:t>
      </w:r>
      <w:r w:rsidR="00942310" w:rsidRPr="00670152">
        <w:rPr>
          <w:rFonts w:ascii="Times New Roman" w:hAnsi="Times New Roman" w:cs="Times New Roman"/>
          <w:sz w:val="24"/>
          <w:szCs w:val="24"/>
        </w:rPr>
        <w:t xml:space="preserve">, teaching, and community), </w:t>
      </w:r>
      <w:r w:rsidR="000E3125" w:rsidRPr="00670152">
        <w:rPr>
          <w:rFonts w:ascii="Times New Roman" w:hAnsi="Times New Roman" w:cs="Times New Roman"/>
          <w:sz w:val="24"/>
          <w:szCs w:val="24"/>
        </w:rPr>
        <w:t xml:space="preserve">outpatient settings, </w:t>
      </w:r>
      <w:r w:rsidR="008A7E9B" w:rsidRPr="00670152">
        <w:rPr>
          <w:rFonts w:ascii="Times New Roman" w:hAnsi="Times New Roman" w:cs="Times New Roman"/>
          <w:sz w:val="24"/>
          <w:szCs w:val="24"/>
        </w:rPr>
        <w:t>educational settings (</w:t>
      </w:r>
      <w:r w:rsidR="000E3125" w:rsidRPr="00670152">
        <w:rPr>
          <w:rFonts w:ascii="Times New Roman" w:hAnsi="Times New Roman" w:cs="Times New Roman"/>
          <w:sz w:val="24"/>
          <w:szCs w:val="24"/>
        </w:rPr>
        <w:t>e.g.</w:t>
      </w:r>
      <w:r w:rsidR="007C6EE8" w:rsidRPr="00670152">
        <w:rPr>
          <w:rFonts w:ascii="Times New Roman" w:hAnsi="Times New Roman" w:cs="Times New Roman"/>
          <w:sz w:val="24"/>
          <w:szCs w:val="24"/>
        </w:rPr>
        <w:t xml:space="preserve">, </w:t>
      </w:r>
      <w:r w:rsidR="008A7E9B" w:rsidRPr="00670152">
        <w:rPr>
          <w:rFonts w:ascii="Times New Roman" w:hAnsi="Times New Roman" w:cs="Times New Roman"/>
          <w:sz w:val="24"/>
          <w:szCs w:val="24"/>
        </w:rPr>
        <w:t>daycare, schools), and congregate settings (</w:t>
      </w:r>
      <w:r w:rsidR="000E3125" w:rsidRPr="00670152">
        <w:rPr>
          <w:rFonts w:ascii="Times New Roman" w:hAnsi="Times New Roman" w:cs="Times New Roman"/>
          <w:sz w:val="24"/>
          <w:szCs w:val="24"/>
        </w:rPr>
        <w:t>e.g.</w:t>
      </w:r>
      <w:r w:rsidR="007C6EE8" w:rsidRPr="00670152">
        <w:rPr>
          <w:rFonts w:ascii="Times New Roman" w:hAnsi="Times New Roman" w:cs="Times New Roman"/>
          <w:sz w:val="24"/>
          <w:szCs w:val="24"/>
        </w:rPr>
        <w:t>,</w:t>
      </w:r>
      <w:r w:rsidR="000E3125"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="008A7E9B" w:rsidRPr="00670152">
        <w:rPr>
          <w:rFonts w:ascii="Times New Roman" w:hAnsi="Times New Roman" w:cs="Times New Roman"/>
          <w:sz w:val="24"/>
          <w:szCs w:val="24"/>
        </w:rPr>
        <w:t xml:space="preserve">detention </w:t>
      </w:r>
      <w:r w:rsidR="000E3125" w:rsidRPr="00670152">
        <w:rPr>
          <w:rFonts w:ascii="Times New Roman" w:hAnsi="Times New Roman" w:cs="Times New Roman"/>
          <w:sz w:val="24"/>
          <w:szCs w:val="24"/>
        </w:rPr>
        <w:t>facilities</w:t>
      </w:r>
      <w:r w:rsidR="008A7E9B" w:rsidRPr="00670152">
        <w:rPr>
          <w:rFonts w:ascii="Times New Roman" w:hAnsi="Times New Roman" w:cs="Times New Roman"/>
          <w:sz w:val="24"/>
          <w:szCs w:val="24"/>
        </w:rPr>
        <w:t>).</w:t>
      </w:r>
    </w:p>
    <w:p w14:paraId="7D370860" w14:textId="143FA916" w:rsidR="00DB69AB" w:rsidRPr="00DB69AB" w:rsidRDefault="00DB69AB" w:rsidP="00DB69AB">
      <w:pPr>
        <w:shd w:val="clear" w:color="auto" w:fill="00B0F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DB69A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Guidance to Identify, Isolate, and Inform:</w:t>
      </w:r>
    </w:p>
    <w:p w14:paraId="20799624" w14:textId="436DDC9E" w:rsidR="009753AC" w:rsidRPr="00DB69AB" w:rsidRDefault="009753AC" w:rsidP="009753AC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9AB">
        <w:rPr>
          <w:rFonts w:ascii="Times New Roman" w:hAnsi="Times New Roman" w:cs="Times New Roman"/>
          <w:color w:val="000000" w:themeColor="text1"/>
          <w:sz w:val="24"/>
          <w:szCs w:val="24"/>
        </w:rPr>
        <w:t>Identification</w:t>
      </w:r>
    </w:p>
    <w:p w14:paraId="519E4789" w14:textId="2D29F0CD" w:rsidR="009753AC" w:rsidRPr="00670152" w:rsidRDefault="009753AC" w:rsidP="009753AC">
      <w:pPr>
        <w:pStyle w:val="Heading2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83AEC">
        <w:rPr>
          <w:rFonts w:ascii="Times New Roman" w:hAnsi="Times New Roman" w:cs="Times New Roman"/>
          <w:sz w:val="24"/>
          <w:szCs w:val="24"/>
        </w:rPr>
        <w:t>Screening Criteria</w:t>
      </w:r>
      <w:r w:rsidR="2C577EDE" w:rsidRPr="00983AEC">
        <w:rPr>
          <w:rFonts w:ascii="Times New Roman" w:hAnsi="Times New Roman" w:cs="Times New Roman"/>
          <w:sz w:val="24"/>
          <w:szCs w:val="24"/>
        </w:rPr>
        <w:t xml:space="preserve"> (signs, symptoms)</w:t>
      </w:r>
      <w:r w:rsidR="00884713" w:rsidRPr="00983AEC">
        <w:rPr>
          <w:rFonts w:ascii="Times New Roman" w:hAnsi="Times New Roman" w:cs="Times New Roman"/>
          <w:sz w:val="24"/>
          <w:szCs w:val="24"/>
        </w:rPr>
        <w:t xml:space="preserve"> </w:t>
      </w:r>
      <w:r w:rsidR="00884713" w:rsidRPr="00670152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="001106BB" w:rsidRPr="0067015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CDC, July 15, 2024</w:t>
        </w:r>
      </w:hyperlink>
    </w:p>
    <w:p w14:paraId="0EEBD9CF" w14:textId="1AF4FBD5" w:rsidR="00884713" w:rsidRPr="00670152" w:rsidRDefault="00884713" w:rsidP="00884713">
      <w:pPr>
        <w:numPr>
          <w:ilvl w:val="1"/>
          <w:numId w:val="12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0152">
        <w:rPr>
          <w:rFonts w:ascii="Times New Roman" w:eastAsia="Times New Roman" w:hAnsi="Times New Roman" w:cs="Times New Roman"/>
          <w:sz w:val="24"/>
          <w:szCs w:val="24"/>
        </w:rPr>
        <w:t>Fever (as high as 105</w:t>
      </w:r>
      <w:r w:rsidR="0019225F" w:rsidRPr="00670152">
        <w:rPr>
          <w:rFonts w:ascii="Times New Roman" w:eastAsia="Times New Roman" w:hAnsi="Times New Roman" w:cs="Times New Roman"/>
          <w:sz w:val="24"/>
          <w:szCs w:val="24"/>
        </w:rPr>
        <w:t>°</w:t>
      </w:r>
      <w:r w:rsidRPr="00670152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</w:p>
    <w:p w14:paraId="090F96E5" w14:textId="11FCC737" w:rsidR="00884713" w:rsidRPr="00670152" w:rsidRDefault="00884713" w:rsidP="00884713">
      <w:pPr>
        <w:numPr>
          <w:ilvl w:val="1"/>
          <w:numId w:val="12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0152">
        <w:rPr>
          <w:rFonts w:ascii="Times New Roman" w:eastAsia="Times New Roman" w:hAnsi="Times New Roman" w:cs="Times New Roman"/>
          <w:sz w:val="24"/>
          <w:szCs w:val="24"/>
        </w:rPr>
        <w:t>Malaise</w:t>
      </w:r>
    </w:p>
    <w:p w14:paraId="361C879D" w14:textId="6A250479" w:rsidR="00884713" w:rsidRPr="00670152" w:rsidRDefault="00884713" w:rsidP="00884713">
      <w:pPr>
        <w:numPr>
          <w:ilvl w:val="1"/>
          <w:numId w:val="12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0152">
        <w:rPr>
          <w:rFonts w:ascii="Times New Roman" w:eastAsia="Times New Roman" w:hAnsi="Times New Roman" w:cs="Times New Roman"/>
          <w:sz w:val="24"/>
          <w:szCs w:val="24"/>
        </w:rPr>
        <w:t>Cough</w:t>
      </w:r>
    </w:p>
    <w:p w14:paraId="7F8B6341" w14:textId="77777777" w:rsidR="00884713" w:rsidRPr="00670152" w:rsidRDefault="00884713" w:rsidP="00884713">
      <w:pPr>
        <w:numPr>
          <w:ilvl w:val="1"/>
          <w:numId w:val="12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0152">
        <w:rPr>
          <w:rFonts w:ascii="Times New Roman" w:eastAsia="Times New Roman" w:hAnsi="Times New Roman" w:cs="Times New Roman"/>
          <w:sz w:val="24"/>
          <w:szCs w:val="24"/>
        </w:rPr>
        <w:t>Coryza (runny nose)</w:t>
      </w:r>
    </w:p>
    <w:p w14:paraId="216BB0EC" w14:textId="77777777" w:rsidR="00884713" w:rsidRPr="00670152" w:rsidRDefault="00884713" w:rsidP="00884713">
      <w:pPr>
        <w:numPr>
          <w:ilvl w:val="1"/>
          <w:numId w:val="12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0152">
        <w:rPr>
          <w:rFonts w:ascii="Times New Roman" w:eastAsia="Times New Roman" w:hAnsi="Times New Roman" w:cs="Times New Roman"/>
          <w:sz w:val="24"/>
          <w:szCs w:val="24"/>
        </w:rPr>
        <w:t>Conjunctivitis</w:t>
      </w:r>
    </w:p>
    <w:p w14:paraId="3B6F0E66" w14:textId="235FFD76" w:rsidR="00884713" w:rsidRPr="00670152" w:rsidRDefault="00884713" w:rsidP="00884713">
      <w:pPr>
        <w:numPr>
          <w:ilvl w:val="1"/>
          <w:numId w:val="12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0152">
        <w:rPr>
          <w:rFonts w:ascii="Times New Roman" w:eastAsia="Times New Roman" w:hAnsi="Times New Roman" w:cs="Times New Roman"/>
          <w:sz w:val="24"/>
          <w:szCs w:val="24"/>
        </w:rPr>
        <w:t>Koplik</w:t>
      </w:r>
      <w:proofErr w:type="spellEnd"/>
      <w:r w:rsidRPr="00670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6068" w:rsidRPr="006701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70152">
        <w:rPr>
          <w:rFonts w:ascii="Times New Roman" w:eastAsia="Times New Roman" w:hAnsi="Times New Roman" w:cs="Times New Roman"/>
          <w:sz w:val="24"/>
          <w:szCs w:val="24"/>
        </w:rPr>
        <w:t xml:space="preserve">pots </w:t>
      </w:r>
      <w:r w:rsidR="007C6EE8" w:rsidRPr="00670152">
        <w:rPr>
          <w:rFonts w:ascii="Times New Roman" w:eastAsia="Times New Roman" w:hAnsi="Times New Roman" w:cs="Times New Roman"/>
          <w:sz w:val="24"/>
          <w:szCs w:val="24"/>
        </w:rPr>
        <w:t>(bluish</w:t>
      </w:r>
      <w:r w:rsidRPr="00670152">
        <w:rPr>
          <w:rFonts w:ascii="Times New Roman" w:eastAsia="Times New Roman" w:hAnsi="Times New Roman" w:cs="Times New Roman"/>
          <w:sz w:val="24"/>
          <w:szCs w:val="24"/>
        </w:rPr>
        <w:t xml:space="preserve">/white spots on the inside of </w:t>
      </w:r>
      <w:r w:rsidR="001106BB" w:rsidRPr="0067015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670152">
        <w:rPr>
          <w:rFonts w:ascii="Times New Roman" w:eastAsia="Times New Roman" w:hAnsi="Times New Roman" w:cs="Times New Roman"/>
          <w:sz w:val="24"/>
          <w:szCs w:val="24"/>
        </w:rPr>
        <w:t xml:space="preserve">mouth) </w:t>
      </w:r>
    </w:p>
    <w:p w14:paraId="2E882F87" w14:textId="6F982F56" w:rsidR="00884713" w:rsidRPr="00670152" w:rsidRDefault="00884713" w:rsidP="00884713">
      <w:pPr>
        <w:numPr>
          <w:ilvl w:val="1"/>
          <w:numId w:val="12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0152">
        <w:rPr>
          <w:rFonts w:ascii="Times New Roman" w:eastAsia="Times New Roman" w:hAnsi="Times New Roman" w:cs="Times New Roman"/>
          <w:sz w:val="24"/>
          <w:szCs w:val="24"/>
        </w:rPr>
        <w:t>Followed by a macular popular rash</w:t>
      </w:r>
    </w:p>
    <w:p w14:paraId="75B5CBBA" w14:textId="1A35A85A" w:rsidR="00703EC0" w:rsidRPr="00670152" w:rsidRDefault="00703EC0" w:rsidP="00703EC0">
      <w:pPr>
        <w:numPr>
          <w:ilvl w:val="2"/>
          <w:numId w:val="12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0152">
        <w:rPr>
          <w:rFonts w:ascii="Times New Roman" w:eastAsia="Times New Roman" w:hAnsi="Times New Roman" w:cs="Times New Roman"/>
          <w:sz w:val="24"/>
          <w:szCs w:val="24"/>
        </w:rPr>
        <w:t xml:space="preserve">The rash appears about 14 days after exposure, starting from head to trunk and lower extremities.  </w:t>
      </w:r>
    </w:p>
    <w:p w14:paraId="082E14CF" w14:textId="6C9FADBD" w:rsidR="00703EC0" w:rsidRPr="00670152" w:rsidRDefault="71764E02" w:rsidP="00703EC0">
      <w:pPr>
        <w:numPr>
          <w:ilvl w:val="2"/>
          <w:numId w:val="12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0152">
        <w:rPr>
          <w:rFonts w:ascii="Times New Roman" w:eastAsia="Times New Roman" w:hAnsi="Times New Roman" w:cs="Times New Roman"/>
          <w:sz w:val="24"/>
          <w:szCs w:val="24"/>
        </w:rPr>
        <w:t>Patients</w:t>
      </w:r>
      <w:r w:rsidR="00703EC0" w:rsidRPr="00670152">
        <w:rPr>
          <w:rFonts w:ascii="Times New Roman" w:eastAsia="Times New Roman" w:hAnsi="Times New Roman" w:cs="Times New Roman"/>
          <w:sz w:val="24"/>
          <w:szCs w:val="24"/>
        </w:rPr>
        <w:t xml:space="preserve"> are contagious from 4 days before to 4 days after the rash appears.  </w:t>
      </w:r>
    </w:p>
    <w:p w14:paraId="66AF2E36" w14:textId="06F5D461" w:rsidR="00433E2A" w:rsidRPr="009860BF" w:rsidRDefault="00703EC0" w:rsidP="6F33BBFC">
      <w:pPr>
        <w:numPr>
          <w:ilvl w:val="2"/>
          <w:numId w:val="12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0152">
        <w:rPr>
          <w:rFonts w:ascii="Times New Roman" w:eastAsia="Times New Roman" w:hAnsi="Times New Roman" w:cs="Times New Roman"/>
          <w:sz w:val="24"/>
          <w:szCs w:val="24"/>
        </w:rPr>
        <w:t>Immunocompromised individuals may not develop rash.</w:t>
      </w:r>
    </w:p>
    <w:tbl>
      <w:tblPr>
        <w:tblStyle w:val="TableGrid"/>
        <w:tblW w:w="8875" w:type="dxa"/>
        <w:tblInd w:w="607" w:type="dxa"/>
        <w:tblLook w:val="04A0" w:firstRow="1" w:lastRow="0" w:firstColumn="1" w:lastColumn="0" w:noHBand="0" w:noVBand="1"/>
      </w:tblPr>
      <w:tblGrid>
        <w:gridCol w:w="1577"/>
        <w:gridCol w:w="7298"/>
      </w:tblGrid>
      <w:tr w:rsidR="00C34597" w14:paraId="4423DC22" w14:textId="77777777" w:rsidTr="009860BF">
        <w:trPr>
          <w:trHeight w:val="252"/>
        </w:trPr>
        <w:tc>
          <w:tcPr>
            <w:tcW w:w="1577" w:type="dxa"/>
            <w:shd w:val="clear" w:color="auto" w:fill="D9D9D9" w:themeFill="background1" w:themeFillShade="D9"/>
          </w:tcPr>
          <w:p w14:paraId="67403C76" w14:textId="3A0DC944" w:rsidR="00433E2A" w:rsidRPr="00433E2A" w:rsidRDefault="00433E2A" w:rsidP="6F33BBFC">
            <w:p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Symptom</w:t>
            </w:r>
          </w:p>
        </w:tc>
        <w:tc>
          <w:tcPr>
            <w:tcW w:w="7298" w:type="dxa"/>
            <w:shd w:val="clear" w:color="auto" w:fill="D9D9D9" w:themeFill="background1" w:themeFillShade="D9"/>
          </w:tcPr>
          <w:p w14:paraId="265C75E7" w14:textId="134B4C6A" w:rsidR="00433E2A" w:rsidRPr="00433E2A" w:rsidRDefault="00433E2A" w:rsidP="00433E2A">
            <w:p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Image</w:t>
            </w:r>
          </w:p>
        </w:tc>
      </w:tr>
      <w:tr w:rsidR="00C34597" w14:paraId="793EF9EE" w14:textId="77777777" w:rsidTr="009860BF">
        <w:trPr>
          <w:trHeight w:val="2905"/>
        </w:trPr>
        <w:tc>
          <w:tcPr>
            <w:tcW w:w="1577" w:type="dxa"/>
          </w:tcPr>
          <w:p w14:paraId="2EC0ED8D" w14:textId="5964B369" w:rsidR="00433E2A" w:rsidRDefault="00433E2A" w:rsidP="6F33BBFC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</w:t>
            </w:r>
          </w:p>
        </w:tc>
        <w:tc>
          <w:tcPr>
            <w:tcW w:w="7298" w:type="dxa"/>
          </w:tcPr>
          <w:p w14:paraId="3A6614F6" w14:textId="2CCD0862" w:rsidR="00433E2A" w:rsidRDefault="00433E2A" w:rsidP="6F33BBFC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01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2C7830" wp14:editId="52E1E659">
                  <wp:extent cx="1344168" cy="1624917"/>
                  <wp:effectExtent l="0" t="0" r="2540" b="1270"/>
                  <wp:docPr id="1795474542" name="Picture 1" descr="cid:image001.png@01D97148.690CC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58" cy="165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701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C75C16" wp14:editId="4940B80F">
                  <wp:extent cx="1052030" cy="1581912"/>
                  <wp:effectExtent l="0" t="0" r="2540" b="5715"/>
                  <wp:docPr id="687532608" name="Picture 687532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71" cy="1609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597" w14:paraId="394A1810" w14:textId="77777777" w:rsidTr="009860BF">
        <w:trPr>
          <w:trHeight w:val="2709"/>
        </w:trPr>
        <w:tc>
          <w:tcPr>
            <w:tcW w:w="1577" w:type="dxa"/>
          </w:tcPr>
          <w:p w14:paraId="00071421" w14:textId="1A5D550E" w:rsidR="00433E2A" w:rsidRDefault="00433E2A" w:rsidP="6F33BBFC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Spots </w:t>
            </w:r>
          </w:p>
        </w:tc>
        <w:tc>
          <w:tcPr>
            <w:tcW w:w="7298" w:type="dxa"/>
          </w:tcPr>
          <w:p w14:paraId="2A9BE26C" w14:textId="41E42039" w:rsidR="00433E2A" w:rsidRDefault="00433E2A" w:rsidP="6F33BBFC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01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2CA57B" wp14:editId="03416A90">
                  <wp:extent cx="1184901" cy="1609344"/>
                  <wp:effectExtent l="0" t="0" r="0" b="3810"/>
                  <wp:docPr id="377792280" name="Picture 377792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952" cy="1621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597" w14:paraId="2DECFD44" w14:textId="77777777" w:rsidTr="009860BF">
        <w:trPr>
          <w:trHeight w:val="2885"/>
        </w:trPr>
        <w:tc>
          <w:tcPr>
            <w:tcW w:w="1577" w:type="dxa"/>
          </w:tcPr>
          <w:p w14:paraId="6A89E238" w14:textId="51BC97D0" w:rsidR="00433E2A" w:rsidRDefault="00433E2A" w:rsidP="6F33BBFC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Conjunctivitis</w:t>
            </w:r>
          </w:p>
        </w:tc>
        <w:tc>
          <w:tcPr>
            <w:tcW w:w="7298" w:type="dxa"/>
          </w:tcPr>
          <w:p w14:paraId="46B87854" w14:textId="7268DFFB" w:rsidR="00433E2A" w:rsidRDefault="00433E2A" w:rsidP="6F33BBFC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01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659A9E" wp14:editId="60AAA2D5">
                  <wp:extent cx="1206370" cy="1691640"/>
                  <wp:effectExtent l="0" t="0" r="635" b="0"/>
                  <wp:docPr id="2126257538" name="Picture 2126257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790" cy="1716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7A41FF" w14:textId="77777777" w:rsidR="009860BF" w:rsidRDefault="009860BF" w:rsidP="009860B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0152">
        <w:rPr>
          <w:rFonts w:ascii="Times New Roman" w:eastAsia="Times New Roman" w:hAnsi="Times New Roman" w:cs="Times New Roman"/>
          <w:sz w:val="24"/>
          <w:szCs w:val="24"/>
        </w:rPr>
        <w:t xml:space="preserve">Examples of measles rash, </w:t>
      </w:r>
      <w:proofErr w:type="spellStart"/>
      <w:r w:rsidRPr="00670152">
        <w:rPr>
          <w:rFonts w:ascii="Times New Roman" w:eastAsia="Times New Roman" w:hAnsi="Times New Roman" w:cs="Times New Roman"/>
          <w:sz w:val="24"/>
          <w:szCs w:val="24"/>
        </w:rPr>
        <w:t>Koplik</w:t>
      </w:r>
      <w:proofErr w:type="spellEnd"/>
      <w:r w:rsidRPr="00670152">
        <w:rPr>
          <w:rFonts w:ascii="Times New Roman" w:eastAsia="Times New Roman" w:hAnsi="Times New Roman" w:cs="Times New Roman"/>
          <w:sz w:val="24"/>
          <w:szCs w:val="24"/>
        </w:rPr>
        <w:t xml:space="preserve"> spots, and conjunctivitis</w:t>
      </w:r>
    </w:p>
    <w:p w14:paraId="1FE13A59" w14:textId="3B165630" w:rsidR="009860BF" w:rsidRPr="003818B1" w:rsidRDefault="009860BF" w:rsidP="009860BF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818B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(photos courtesy of </w:t>
      </w:r>
      <w:hyperlink r:id="rId22" w:history="1">
        <w:r w:rsidRPr="003818B1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4"/>
          </w:rPr>
          <w:t>Government of Canada Health</w:t>
        </w:r>
      </w:hyperlink>
      <w:r w:rsidRPr="003818B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and </w:t>
      </w:r>
      <w:hyperlink r:id="rId23" w:history="1">
        <w:r w:rsidRPr="003818B1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4"/>
          </w:rPr>
          <w:t>CDC</w:t>
        </w:r>
      </w:hyperlink>
      <w:r w:rsidRPr="003818B1">
        <w:rPr>
          <w:rFonts w:ascii="Times New Roman" w:eastAsia="Times New Roman" w:hAnsi="Times New Roman" w:cs="Times New Roman"/>
          <w:color w:val="0070C0"/>
          <w:sz w:val="24"/>
          <w:szCs w:val="24"/>
        </w:rPr>
        <w:t>)</w:t>
      </w:r>
    </w:p>
    <w:p w14:paraId="3447D7A4" w14:textId="4A3C12BD" w:rsidR="6F33BBFC" w:rsidRDefault="6F33BBFC" w:rsidP="6F33BBFC">
      <w:pP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815DB2" w14:textId="77777777" w:rsidR="00391858" w:rsidRDefault="00391858" w:rsidP="6F33BBFC">
      <w:pP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02ABE6" w14:textId="77777777" w:rsidR="00391858" w:rsidRDefault="00391858" w:rsidP="6F33BBFC">
      <w:pP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0E1467" w14:textId="77777777" w:rsidR="00391858" w:rsidRPr="00670152" w:rsidRDefault="00391858" w:rsidP="6F33BBFC">
      <w:pP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CE3B6D" w14:textId="77777777" w:rsidR="005C55D2" w:rsidRPr="005C55D2" w:rsidRDefault="5DF05C78" w:rsidP="005C55D2">
      <w:pPr>
        <w:pStyle w:val="Heading2"/>
        <w:numPr>
          <w:ilvl w:val="0"/>
          <w:numId w:val="6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9753AC" w:rsidRPr="00670152">
        <w:rPr>
          <w:rFonts w:ascii="Times New Roman" w:hAnsi="Times New Roman" w:cs="Times New Roman"/>
          <w:sz w:val="24"/>
          <w:szCs w:val="24"/>
        </w:rPr>
        <w:t>ravel Considerations</w:t>
      </w:r>
    </w:p>
    <w:p w14:paraId="79B3D461" w14:textId="77777777" w:rsidR="005C55D2" w:rsidRPr="005C55D2" w:rsidRDefault="00884713" w:rsidP="005C55D2">
      <w:pPr>
        <w:pStyle w:val="Heading2"/>
        <w:numPr>
          <w:ilvl w:val="1"/>
          <w:numId w:val="6"/>
        </w:numPr>
        <w:spacing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Current </w:t>
      </w:r>
      <w:r w:rsidR="00DB50A2" w:rsidRPr="005C55D2">
        <w:rPr>
          <w:rFonts w:ascii="Times New Roman" w:hAnsi="Times New Roman" w:cs="Times New Roman"/>
          <w:color w:val="000000" w:themeColor="text1"/>
          <w:sz w:val="24"/>
          <w:szCs w:val="24"/>
        </w:rPr>
        <w:t>Measles data</w:t>
      </w:r>
      <w:r w:rsidRPr="005C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be found: </w:t>
      </w:r>
    </w:p>
    <w:p w14:paraId="6B90BC2F" w14:textId="113E68F6" w:rsidR="005C55D2" w:rsidRPr="005C55D2" w:rsidRDefault="004B6260" w:rsidP="005C55D2">
      <w:pPr>
        <w:pStyle w:val="Heading2"/>
        <w:numPr>
          <w:ilvl w:val="2"/>
          <w:numId w:val="6"/>
        </w:numPr>
        <w:spacing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4" w:history="1">
        <w:r w:rsidRPr="005C55D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International / Foreign Travel</w:t>
        </w:r>
      </w:hyperlink>
    </w:p>
    <w:p w14:paraId="759513DE" w14:textId="5E927A42" w:rsidR="005C55D2" w:rsidRPr="00391858" w:rsidRDefault="00703EC0" w:rsidP="005C55D2">
      <w:pPr>
        <w:pStyle w:val="Heading2"/>
        <w:numPr>
          <w:ilvl w:val="2"/>
          <w:numId w:val="6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5C55D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Domestic Travel (USA) Measles Cases and Outbreaks</w:t>
        </w:r>
      </w:hyperlink>
      <w:r w:rsidRPr="005C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EBC0F8" w14:textId="77777777" w:rsidR="005C55D2" w:rsidRDefault="009753AC" w:rsidP="005C55D2">
      <w:pPr>
        <w:pStyle w:val="Heading2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Exposure Definition</w:t>
      </w:r>
    </w:p>
    <w:p w14:paraId="57C7616A" w14:textId="54A733DF" w:rsidR="00B60FA9" w:rsidRDefault="00E00708" w:rsidP="005C55D2">
      <w:pPr>
        <w:pStyle w:val="Heading2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5C55D2">
          <w:rPr>
            <w:rStyle w:val="Hyperlink"/>
            <w:rFonts w:ascii="Times New Roman" w:hAnsi="Times New Roman" w:cs="Times New Roman"/>
            <w:sz w:val="24"/>
            <w:szCs w:val="24"/>
          </w:rPr>
          <w:t>CDC, April 12, 2024</w:t>
        </w:r>
      </w:hyperlink>
    </w:p>
    <w:p w14:paraId="04FF268C" w14:textId="77777777" w:rsidR="006250C4" w:rsidRDefault="0044513B" w:rsidP="006250C4">
      <w:pPr>
        <w:pStyle w:val="Heading2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0C4">
        <w:rPr>
          <w:rFonts w:ascii="Times New Roman" w:hAnsi="Times New Roman" w:cs="Times New Roman"/>
          <w:color w:val="000000" w:themeColor="text1"/>
          <w:sz w:val="24"/>
          <w:szCs w:val="24"/>
        </w:rPr>
        <w:t>Definition of exposure to measles for HCP in healthcare settings: HCP exposures to measles in a healthcare setting include spending any time while unprotected (i.e., not wearing recommended respiratory protection):</w:t>
      </w:r>
    </w:p>
    <w:p w14:paraId="05441C36" w14:textId="77777777" w:rsidR="006250C4" w:rsidRPr="006250C4" w:rsidRDefault="0044513B" w:rsidP="006250C4">
      <w:pPr>
        <w:pStyle w:val="Heading2"/>
        <w:numPr>
          <w:ilvl w:val="2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0C4">
        <w:rPr>
          <w:rFonts w:ascii="Times New Roman" w:hAnsi="Times New Roman" w:cs="Times New Roman"/>
          <w:color w:val="000000" w:themeColor="text1"/>
          <w:sz w:val="24"/>
          <w:szCs w:val="24"/>
        </w:rPr>
        <w:t>In a shared air space with an infectious measles patient at the same time, or</w:t>
      </w:r>
    </w:p>
    <w:p w14:paraId="1537CE9C" w14:textId="352FC923" w:rsidR="0044513B" w:rsidRPr="006250C4" w:rsidRDefault="0044513B" w:rsidP="006250C4">
      <w:pPr>
        <w:pStyle w:val="Heading2"/>
        <w:numPr>
          <w:ilvl w:val="2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 shared air space vacated by an infectious measles patient within the prior 2 hours </w:t>
      </w:r>
    </w:p>
    <w:p w14:paraId="62671AEF" w14:textId="77777777" w:rsidR="00391858" w:rsidRDefault="0044513B" w:rsidP="00391858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For spaces with a defined rate of air changes per hour (ACH), see the following for additional considerations about estimating the time for 99.9% removal efficiency of airborne contaminants: Table B1 “Air changes/hour (ACH) and time required for airborne-contaminant removal by efficiency” from the </w:t>
      </w:r>
      <w:hyperlink r:id="rId27">
        <w:r w:rsidR="00E00708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2003 Guidelines for Environmental Infection Control in Health-Care Facilities (CDC, January 11, 2024).</w:t>
        </w:r>
      </w:hyperlink>
      <w:r w:rsidRPr="00670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E575A" w14:textId="77777777" w:rsidR="00391858" w:rsidRDefault="00391858" w:rsidP="00391858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14:paraId="77D35927" w14:textId="77777777" w:rsidR="00391858" w:rsidRDefault="009753AC" w:rsidP="003918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9185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Testing Information</w:t>
      </w:r>
    </w:p>
    <w:p w14:paraId="78FE3BCC" w14:textId="77777777" w:rsidR="00391858" w:rsidRPr="00391858" w:rsidRDefault="0044513B" w:rsidP="00391858">
      <w:pPr>
        <w:pStyle w:val="ListParagraph"/>
        <w:numPr>
          <w:ilvl w:val="1"/>
          <w:numId w:val="6"/>
        </w:numPr>
        <w:rPr>
          <w:rStyle w:val="Hyperlink"/>
          <w:rFonts w:ascii="Times New Roman" w:hAnsi="Times New Roman" w:cs="Times New Roman"/>
          <w:color w:val="2E74B5" w:themeColor="accent1" w:themeShade="BF"/>
          <w:sz w:val="24"/>
          <w:szCs w:val="24"/>
          <w:u w:val="none"/>
        </w:rPr>
      </w:pP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Healthcare providers should consider measles in patients presenting with febrile rash illness and clinically compatible measles symptoms, especially if the person recently traveled internationally or was exposed to a person with febrile rash illness. Healthcare providers are required to report suspected measles cases to their local health department </w:t>
      </w:r>
      <w:r w:rsidRPr="00391858">
        <w:rPr>
          <w:rFonts w:ascii="Times New Roman" w:hAnsi="Times New Roman" w:cs="Times New Roman"/>
          <w:sz w:val="24"/>
          <w:szCs w:val="24"/>
        </w:rPr>
        <w:t>(</w:t>
      </w:r>
      <w:hyperlink r:id="rId28" w:history="1">
        <w:r w:rsidR="00660DCD" w:rsidRPr="0039185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CDC, July 15, 2024</w:t>
        </w:r>
      </w:hyperlink>
      <w:r w:rsidR="00660DCD" w:rsidRPr="00391858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14:paraId="73E170A7" w14:textId="77777777" w:rsidR="00391858" w:rsidRPr="00391858" w:rsidRDefault="0044513B" w:rsidP="00391858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Laboratory confirmation is essential for all sporadic measles cases and all outbreaks. </w:t>
      </w:r>
      <w:r w:rsidR="00983AEC"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The d</w:t>
      </w: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etection of measles-specific IgM antibod</w:t>
      </w:r>
      <w:r w:rsidR="00E00708"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ies</w:t>
      </w: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serum and measles RNA by real-time polymerase chain reaction (RT-PCR) in a respiratory specimen </w:t>
      </w:r>
      <w:r w:rsidR="00983AEC"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most common method for confirming measles infection. </w:t>
      </w:r>
    </w:p>
    <w:p w14:paraId="6F4E5C72" w14:textId="77777777" w:rsidR="00391858" w:rsidRPr="00391858" w:rsidRDefault="0044513B" w:rsidP="00391858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Healthcare providers should obtain both a serum sample and a throat swab (or nasopharyngeal swab) from patients suspected to have measles at first contact with them. Urine samples may also contain </w:t>
      </w:r>
      <w:r w:rsidR="6AB9DEB6"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viruses</w:t>
      </w: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, and when feasible to do so, collecting both respiratory and urine samples can increase the likelihood of detecting measles virus</w:t>
      </w:r>
      <w:r w:rsidRPr="00391858">
        <w:rPr>
          <w:rFonts w:ascii="Times New Roman" w:hAnsi="Times New Roman" w:cs="Times New Roman"/>
          <w:sz w:val="24"/>
          <w:szCs w:val="24"/>
        </w:rPr>
        <w:t xml:space="preserve"> (</w:t>
      </w:r>
      <w:hyperlink r:id="rId29" w:history="1">
        <w:r w:rsidR="00660DCD" w:rsidRPr="0039185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CDC, July 15, 2024</w:t>
        </w:r>
      </w:hyperlink>
      <w:r w:rsidR="00660DCD" w:rsidRPr="00391858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660DCD" w:rsidRPr="00391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0833" w14:textId="77777777" w:rsidR="00391858" w:rsidRPr="00391858" w:rsidRDefault="0044513B" w:rsidP="00391858">
      <w:pPr>
        <w:pStyle w:val="ListParagraph"/>
        <w:numPr>
          <w:ilvl w:val="1"/>
          <w:numId w:val="6"/>
        </w:numPr>
        <w:rPr>
          <w:rStyle w:val="Hyperlink"/>
          <w:rFonts w:ascii="Times New Roman" w:hAnsi="Times New Roman" w:cs="Times New Roman"/>
          <w:color w:val="2E74B5" w:themeColor="accent1" w:themeShade="BF"/>
          <w:sz w:val="24"/>
          <w:szCs w:val="24"/>
          <w:u w:val="none"/>
        </w:rPr>
      </w:pP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Molecular analysis can also be conducted to determine the genotype of the measles virus. Genotyping is used to map the transmission pathways of measles viruses. </w:t>
      </w:r>
      <w:r w:rsidR="002D6235"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Genetic</w:t>
      </w: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can help to link or unlink cases and can suggest a source for imported cases. Genotyping is the only way to distinguish between wild-type measles virus infection and a rash caused by a recent measles vaccination </w:t>
      </w:r>
      <w:r w:rsidR="00660DCD" w:rsidRPr="00391858">
        <w:rPr>
          <w:rFonts w:ascii="Times New Roman" w:hAnsi="Times New Roman" w:cs="Times New Roman"/>
          <w:sz w:val="24"/>
          <w:szCs w:val="24"/>
        </w:rPr>
        <w:t>(</w:t>
      </w:r>
      <w:hyperlink r:id="rId30" w:history="1">
        <w:r w:rsidR="00660DCD" w:rsidRPr="0039185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CDC, July 15, 2024</w:t>
        </w:r>
      </w:hyperlink>
      <w:r w:rsidR="00660DCD" w:rsidRPr="00391858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5E0862CA" w14:textId="77777777" w:rsidR="00391858" w:rsidRPr="00391858" w:rsidRDefault="00391858" w:rsidP="00391858">
      <w:pPr>
        <w:pStyle w:val="ListParagraph"/>
        <w:ind w:left="1080"/>
        <w:rPr>
          <w:rStyle w:val="Hyperlink"/>
          <w:rFonts w:ascii="Times New Roman" w:hAnsi="Times New Roman" w:cs="Times New Roman"/>
          <w:color w:val="2E74B5" w:themeColor="accent1" w:themeShade="BF"/>
          <w:sz w:val="24"/>
          <w:szCs w:val="24"/>
          <w:u w:val="none"/>
        </w:rPr>
      </w:pPr>
    </w:p>
    <w:p w14:paraId="77D6EF4A" w14:textId="77777777" w:rsidR="00391858" w:rsidRPr="00391858" w:rsidRDefault="009753AC" w:rsidP="003918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9185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Specimen Collection</w:t>
      </w:r>
    </w:p>
    <w:p w14:paraId="7713C7E9" w14:textId="77777777" w:rsidR="00391858" w:rsidRPr="00391858" w:rsidRDefault="00831E6C" w:rsidP="00391858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Follow standard specimen collection procedure</w:t>
      </w:r>
      <w:r w:rsidR="00E00708"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serum, throat swab, nasopharyngeal swab, and urine.</w:t>
      </w:r>
    </w:p>
    <w:p w14:paraId="61195854" w14:textId="77777777" w:rsidR="00391858" w:rsidRPr="00391858" w:rsidRDefault="00391858" w:rsidP="00391858">
      <w:pPr>
        <w:pStyle w:val="ListParagraph"/>
        <w:ind w:left="108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66F0BDA9" w14:textId="77777777" w:rsidR="00391858" w:rsidRPr="00391858" w:rsidRDefault="009753AC" w:rsidP="003918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9185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Differentiation from Similar Diseases</w:t>
      </w:r>
    </w:p>
    <w:p w14:paraId="02FBE378" w14:textId="77777777" w:rsidR="00391858" w:rsidRPr="00391858" w:rsidRDefault="0014093A" w:rsidP="00391858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Confirm not other viral </w:t>
      </w:r>
      <w:r w:rsidR="008D11C0"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rashes (</w:t>
      </w: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exanthems</w:t>
      </w:r>
      <w:r w:rsidR="008D11C0"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using measles serology.</w:t>
      </w:r>
    </w:p>
    <w:p w14:paraId="5703E3A4" w14:textId="77777777" w:rsidR="00391858" w:rsidRPr="00391858" w:rsidRDefault="00391858" w:rsidP="00391858">
      <w:pPr>
        <w:pStyle w:val="ListParagraph"/>
        <w:ind w:left="108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69690E0B" w14:textId="77777777" w:rsidR="00391858" w:rsidRPr="00391858" w:rsidRDefault="009753AC" w:rsidP="003918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9185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Bioterrorism Threat</w:t>
      </w:r>
    </w:p>
    <w:p w14:paraId="0F5D4A64" w14:textId="0477223C" w:rsidR="00BD7C23" w:rsidRPr="00391858" w:rsidRDefault="00470966" w:rsidP="00391858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91858">
        <w:rPr>
          <w:rFonts w:ascii="Times New Roman" w:hAnsi="Times New Roman" w:cs="Times New Roman"/>
          <w:color w:val="000000" w:themeColor="text1"/>
          <w:sz w:val="24"/>
          <w:szCs w:val="24"/>
        </w:rPr>
        <w:t>Measles is not considered a bioterrorism agent/disease</w:t>
      </w:r>
      <w:r w:rsidRPr="00391858">
        <w:rPr>
          <w:rFonts w:ascii="Times New Roman" w:hAnsi="Times New Roman" w:cs="Times New Roman"/>
          <w:sz w:val="24"/>
          <w:szCs w:val="24"/>
        </w:rPr>
        <w:t xml:space="preserve"> </w:t>
      </w:r>
      <w:hyperlink r:id="rId31">
        <w:r w:rsidR="007C1D9F" w:rsidRPr="00391858">
          <w:rPr>
            <w:rStyle w:val="Hyperlink"/>
            <w:rFonts w:ascii="Times New Roman" w:hAnsi="Times New Roman" w:cs="Times New Roman"/>
            <w:sz w:val="24"/>
            <w:szCs w:val="24"/>
          </w:rPr>
          <w:t>(CDC, April 4, 2018)</w:t>
        </w:r>
      </w:hyperlink>
      <w:r w:rsidRPr="00391858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06DDD540" w14:textId="77777777" w:rsidR="006250C4" w:rsidRDefault="3E63BE84" w:rsidP="006250C4">
      <w:pPr>
        <w:pStyle w:val="Heading2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lastRenderedPageBreak/>
        <w:t>Complications</w:t>
      </w:r>
    </w:p>
    <w:p w14:paraId="16E1BC96" w14:textId="77777777" w:rsidR="006250C4" w:rsidRPr="006250C4" w:rsidRDefault="3C894724" w:rsidP="006250C4">
      <w:pPr>
        <w:pStyle w:val="Heading2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50C4">
        <w:rPr>
          <w:rFonts w:ascii="Times New Roman" w:eastAsia="Segoe UI" w:hAnsi="Times New Roman" w:cs="Times New Roman"/>
          <w:color w:val="1B1D1F"/>
          <w:sz w:val="24"/>
          <w:szCs w:val="24"/>
        </w:rPr>
        <w:t>People at high risk for complications include:</w:t>
      </w:r>
    </w:p>
    <w:p w14:paraId="4506C251" w14:textId="77777777" w:rsidR="006250C4" w:rsidRPr="006250C4" w:rsidRDefault="3C894724" w:rsidP="006250C4">
      <w:pPr>
        <w:pStyle w:val="Heading2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50C4">
        <w:rPr>
          <w:rFonts w:ascii="Times New Roman" w:eastAsia="Segoe UI" w:hAnsi="Times New Roman" w:cs="Times New Roman"/>
          <w:color w:val="1B1D1F"/>
          <w:sz w:val="24"/>
          <w:szCs w:val="24"/>
        </w:rPr>
        <w:t>Infants and children aged &lt;5 years</w:t>
      </w:r>
    </w:p>
    <w:p w14:paraId="0A3F83C2" w14:textId="77777777" w:rsidR="006250C4" w:rsidRPr="006250C4" w:rsidRDefault="3C894724" w:rsidP="006250C4">
      <w:pPr>
        <w:pStyle w:val="Heading2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50C4">
        <w:rPr>
          <w:rFonts w:ascii="Times New Roman" w:eastAsia="Segoe UI" w:hAnsi="Times New Roman" w:cs="Times New Roman"/>
          <w:color w:val="1B1D1F"/>
          <w:sz w:val="24"/>
          <w:szCs w:val="24"/>
        </w:rPr>
        <w:t>Adults aged &gt;20 years</w:t>
      </w:r>
    </w:p>
    <w:p w14:paraId="3F8AAE27" w14:textId="77777777" w:rsidR="006250C4" w:rsidRPr="006250C4" w:rsidRDefault="3C894724" w:rsidP="006250C4">
      <w:pPr>
        <w:pStyle w:val="Heading2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50C4">
        <w:rPr>
          <w:rFonts w:ascii="Times New Roman" w:eastAsia="Segoe UI" w:hAnsi="Times New Roman" w:cs="Times New Roman"/>
          <w:color w:val="1B1D1F"/>
          <w:sz w:val="24"/>
          <w:szCs w:val="24"/>
        </w:rPr>
        <w:t>Pregnant women</w:t>
      </w:r>
    </w:p>
    <w:p w14:paraId="152B5158" w14:textId="77777777" w:rsidR="006250C4" w:rsidRPr="006250C4" w:rsidRDefault="3C894724" w:rsidP="006250C4">
      <w:pPr>
        <w:pStyle w:val="Heading2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50C4">
        <w:rPr>
          <w:rFonts w:ascii="Times New Roman" w:eastAsia="Segoe UI" w:hAnsi="Times New Roman" w:cs="Times New Roman"/>
          <w:color w:val="1B1D1F"/>
          <w:sz w:val="24"/>
          <w:szCs w:val="24"/>
        </w:rPr>
        <w:t>People with weakened immune systems, such as from leukemia and HIV infection</w:t>
      </w:r>
    </w:p>
    <w:p w14:paraId="6A88156D" w14:textId="77777777" w:rsidR="006250C4" w:rsidRPr="006250C4" w:rsidRDefault="3E63BE84" w:rsidP="006250C4">
      <w:pPr>
        <w:pStyle w:val="Heading2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50C4">
        <w:rPr>
          <w:rFonts w:ascii="Times New Roman" w:eastAsia="Segoe UI" w:hAnsi="Times New Roman" w:cs="Times New Roman"/>
          <w:color w:val="1B1D1F"/>
          <w:sz w:val="24"/>
          <w:szCs w:val="24"/>
        </w:rPr>
        <w:t>Common complications from measles include otitis media, bronchopneumonia, laryngotracheobronchitis, and diarrhea.</w:t>
      </w:r>
    </w:p>
    <w:p w14:paraId="12C238FD" w14:textId="77777777" w:rsidR="006250C4" w:rsidRPr="006250C4" w:rsidRDefault="3E63BE84" w:rsidP="006250C4">
      <w:pPr>
        <w:pStyle w:val="Heading2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50C4">
        <w:rPr>
          <w:rFonts w:ascii="Times New Roman" w:eastAsia="Segoe UI" w:hAnsi="Times New Roman" w:cs="Times New Roman"/>
          <w:color w:val="1B1D1F"/>
          <w:sz w:val="24"/>
          <w:szCs w:val="24"/>
        </w:rPr>
        <w:t>Even in previously healthy children, measles can cause serious illness requiring hospitalization.</w:t>
      </w:r>
    </w:p>
    <w:p w14:paraId="75763BCF" w14:textId="77777777" w:rsidR="006250C4" w:rsidRPr="006250C4" w:rsidRDefault="3E63BE84" w:rsidP="006250C4">
      <w:pPr>
        <w:pStyle w:val="Heading2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50C4">
        <w:rPr>
          <w:rFonts w:ascii="Times New Roman" w:eastAsia="Segoe UI" w:hAnsi="Times New Roman" w:cs="Times New Roman"/>
          <w:color w:val="1B1D1F"/>
          <w:sz w:val="24"/>
          <w:szCs w:val="24"/>
        </w:rPr>
        <w:t>1 out of every 1,000 measles cases will develop acute encephalitis, which often results in permanent brain damage.</w:t>
      </w:r>
    </w:p>
    <w:p w14:paraId="0AEB4DC3" w14:textId="77777777" w:rsidR="00C22E6E" w:rsidRPr="00C22E6E" w:rsidRDefault="3E63BE84" w:rsidP="00C22E6E">
      <w:pPr>
        <w:pStyle w:val="Heading2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250C4">
        <w:rPr>
          <w:rFonts w:ascii="Times New Roman" w:eastAsia="Segoe UI" w:hAnsi="Times New Roman" w:cs="Times New Roman"/>
          <w:color w:val="1B1D1F"/>
          <w:sz w:val="24"/>
          <w:szCs w:val="24"/>
        </w:rPr>
        <w:t>1 to 3 out of every 1,000 children who become infected with measles will die from respiratory and neurologic complications.</w:t>
      </w:r>
    </w:p>
    <w:p w14:paraId="4EB21D42" w14:textId="77777777" w:rsidR="00C22E6E" w:rsidRPr="00C22E6E" w:rsidRDefault="006250C4" w:rsidP="00C22E6E">
      <w:pPr>
        <w:pStyle w:val="Heading2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C22E6E">
          <w:rPr>
            <w:rStyle w:val="Hyperlink"/>
            <w:rFonts w:ascii="Times New Roman" w:eastAsia="Segoe UI" w:hAnsi="Times New Roman" w:cs="Times New Roman"/>
            <w:sz w:val="24"/>
            <w:szCs w:val="24"/>
          </w:rPr>
          <w:t>Subacute sclerosing panencephalitis (SSPE)</w:t>
        </w:r>
      </w:hyperlink>
      <w:r w:rsidRPr="00C22E6E">
        <w:rPr>
          <w:rFonts w:ascii="Times New Roman" w:eastAsia="Segoe UI" w:hAnsi="Times New Roman" w:cs="Times New Roman"/>
          <w:color w:val="1B1D1F"/>
          <w:sz w:val="24"/>
          <w:szCs w:val="24"/>
        </w:rPr>
        <w:t xml:space="preserve"> </w:t>
      </w:r>
      <w:r w:rsidR="00C22E6E">
        <w:rPr>
          <w:rFonts w:ascii="Times New Roman" w:eastAsia="Segoe UI" w:hAnsi="Times New Roman" w:cs="Times New Roman"/>
          <w:color w:val="1B1D1F"/>
          <w:sz w:val="24"/>
          <w:szCs w:val="24"/>
        </w:rPr>
        <w:t xml:space="preserve">is </w:t>
      </w:r>
      <w:r w:rsidR="3E63BE84" w:rsidRPr="00C22E6E">
        <w:rPr>
          <w:rFonts w:ascii="Times New Roman" w:eastAsia="Segoe UI" w:hAnsi="Times New Roman" w:cs="Times New Roman"/>
          <w:color w:val="1B1D1F"/>
          <w:sz w:val="24"/>
          <w:szCs w:val="24"/>
        </w:rPr>
        <w:t>a rare, but fatal degenerative disease of the central nervous system characterized by:</w:t>
      </w:r>
    </w:p>
    <w:p w14:paraId="2A8DD326" w14:textId="77777777" w:rsidR="00C22E6E" w:rsidRPr="00C22E6E" w:rsidRDefault="3E63BE84" w:rsidP="00C22E6E">
      <w:pPr>
        <w:pStyle w:val="Heading2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2E6E">
        <w:rPr>
          <w:rFonts w:ascii="Times New Roman" w:eastAsia="Segoe UI" w:hAnsi="Times New Roman" w:cs="Times New Roman"/>
          <w:color w:val="1B1D1F"/>
          <w:sz w:val="24"/>
          <w:szCs w:val="24"/>
        </w:rPr>
        <w:t>Behavioral and intellectual deterioration.</w:t>
      </w:r>
    </w:p>
    <w:p w14:paraId="3AF9DA51" w14:textId="77777777" w:rsidR="00391858" w:rsidRDefault="3E63BE84" w:rsidP="00391858">
      <w:pPr>
        <w:pStyle w:val="Heading2"/>
        <w:numPr>
          <w:ilvl w:val="2"/>
          <w:numId w:val="6"/>
        </w:numPr>
        <w:rPr>
          <w:rFonts w:ascii="Times New Roman" w:eastAsia="Segoe UI" w:hAnsi="Times New Roman" w:cs="Times New Roman"/>
          <w:color w:val="1B1D1F"/>
          <w:sz w:val="24"/>
          <w:szCs w:val="24"/>
        </w:rPr>
      </w:pPr>
      <w:r w:rsidRPr="00C22E6E">
        <w:rPr>
          <w:rFonts w:ascii="Times New Roman" w:eastAsia="Segoe UI" w:hAnsi="Times New Roman" w:cs="Times New Roman"/>
          <w:color w:val="1B1D1F"/>
          <w:sz w:val="24"/>
          <w:szCs w:val="24"/>
        </w:rPr>
        <w:t>Seizures that generally develop 7 to 10 years after measles infection.</w:t>
      </w:r>
    </w:p>
    <w:p w14:paraId="3C179C94" w14:textId="2A091F13" w:rsidR="00C22E6E" w:rsidRPr="00391858" w:rsidRDefault="009753AC" w:rsidP="00391858">
      <w:pPr>
        <w:pStyle w:val="Heading2"/>
        <w:numPr>
          <w:ilvl w:val="2"/>
          <w:numId w:val="6"/>
        </w:numPr>
        <w:rPr>
          <w:rFonts w:ascii="Times New Roman" w:eastAsia="Segoe UI" w:hAnsi="Times New Roman" w:cs="Times New Roman"/>
          <w:color w:val="1B1D1F"/>
          <w:sz w:val="24"/>
          <w:szCs w:val="24"/>
        </w:rPr>
      </w:pPr>
      <w:r w:rsidRPr="00391858">
        <w:rPr>
          <w:rFonts w:ascii="Times New Roman" w:hAnsi="Times New Roman" w:cs="Times New Roman"/>
          <w:sz w:val="24"/>
          <w:szCs w:val="24"/>
        </w:rPr>
        <w:t>Antimicrobial Resistance</w:t>
      </w:r>
    </w:p>
    <w:p w14:paraId="7D8E98D2" w14:textId="6DC51084" w:rsidR="00A07DD5" w:rsidRPr="00C22E6E" w:rsidRDefault="0014093A" w:rsidP="00C22E6E">
      <w:pPr>
        <w:pStyle w:val="Heading2"/>
        <w:numPr>
          <w:ilvl w:val="1"/>
          <w:numId w:val="6"/>
        </w:numP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C2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None </w:t>
      </w:r>
    </w:p>
    <w:p w14:paraId="6F6FDE0C" w14:textId="4523142F" w:rsidR="004821BF" w:rsidRPr="00983AEC" w:rsidRDefault="004821BF" w:rsidP="009753AC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AEC">
        <w:rPr>
          <w:rFonts w:ascii="Times New Roman" w:hAnsi="Times New Roman" w:cs="Times New Roman"/>
          <w:color w:val="000000" w:themeColor="text1"/>
          <w:sz w:val="24"/>
          <w:szCs w:val="24"/>
        </w:rPr>
        <w:t>Prevent Transmission</w:t>
      </w:r>
      <w:r w:rsidR="00D813FC" w:rsidRPr="00983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94B5B9" w14:textId="77777777" w:rsidR="008E48F7" w:rsidRDefault="00BC6563" w:rsidP="008E48F7">
      <w:pPr>
        <w:pStyle w:val="Heading2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Precautions to Prevent Transmission</w:t>
      </w:r>
    </w:p>
    <w:p w14:paraId="6CC34C00" w14:textId="612D9AB3" w:rsidR="008E48F7" w:rsidRDefault="451A2C10" w:rsidP="008E48F7">
      <w:pPr>
        <w:pStyle w:val="Heading2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Transmission-based precautions: </w:t>
      </w:r>
      <w:r w:rsidR="5CF4B636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5095D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dhere to </w:t>
      </w:r>
      <w:r w:rsidR="5C11B10C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D11C0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irborne and </w:t>
      </w:r>
      <w:r w:rsidR="12134171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D11C0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tandard </w:t>
      </w:r>
      <w:r w:rsidR="2D8BA762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D11C0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recautions</w:t>
      </w:r>
      <w:r w:rsidR="008D11C0" w:rsidRPr="008E48F7">
        <w:rPr>
          <w:rFonts w:ascii="Times New Roman" w:hAnsi="Times New Roman" w:cs="Times New Roman"/>
          <w:sz w:val="24"/>
          <w:szCs w:val="24"/>
        </w:rPr>
        <w:t xml:space="preserve"> </w:t>
      </w:r>
      <w:r w:rsidR="0065095D" w:rsidRPr="008E48F7">
        <w:rPr>
          <w:rFonts w:ascii="Times New Roman" w:hAnsi="Times New Roman" w:cs="Times New Roman"/>
          <w:sz w:val="24"/>
          <w:szCs w:val="24"/>
        </w:rPr>
        <w:t>(</w:t>
      </w:r>
      <w:hyperlink r:id="rId33">
        <w:r w:rsidR="00E00708" w:rsidRPr="008E48F7">
          <w:rPr>
            <w:rStyle w:val="Hyperlink"/>
            <w:rFonts w:ascii="Times New Roman" w:hAnsi="Times New Roman" w:cs="Times New Roman"/>
            <w:sz w:val="24"/>
            <w:szCs w:val="24"/>
          </w:rPr>
          <w:t>CDC, April 12, 2024</w:t>
        </w:r>
      </w:hyperlink>
      <w:r w:rsidR="0065095D" w:rsidRPr="008E48F7">
        <w:rPr>
          <w:rFonts w:ascii="Times New Roman" w:hAnsi="Times New Roman" w:cs="Times New Roman"/>
          <w:sz w:val="24"/>
          <w:szCs w:val="24"/>
        </w:rPr>
        <w:t>).</w:t>
      </w:r>
    </w:p>
    <w:p w14:paraId="4AB7A6AB" w14:textId="74B6E6F0" w:rsidR="008E48F7" w:rsidRDefault="00EC354B" w:rsidP="008E48F7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Patients with measles should remain </w:t>
      </w:r>
      <w:r w:rsidR="00E00708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under</w:t>
      </w:r>
      <w:r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Airborne Precautions for 4 days after the onset of </w:t>
      </w:r>
      <w:r w:rsidR="00E00708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 (with </w:t>
      </w:r>
      <w:r w:rsidR="00E00708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onset of </w:t>
      </w:r>
      <w:r w:rsidR="00E00708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rash considered to be Day 0).</w:t>
      </w:r>
    </w:p>
    <w:p w14:paraId="22673270" w14:textId="151CB683" w:rsidR="008E48F7" w:rsidRDefault="00EC354B" w:rsidP="008E48F7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Immunocompromised patients with measles should remain in Airborne Precautions for the duration of illness due to prolonged virus shedding in these individuals</w:t>
      </w:r>
      <w:r w:rsidR="004F2BCD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BDB91D" w14:textId="30349FFA" w:rsidR="009F4637" w:rsidRPr="009F4637" w:rsidRDefault="50BAF474" w:rsidP="009F4637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HCP Vaccination: </w:t>
      </w:r>
      <w:r w:rsidR="00BC2774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Ensure that all HCP</w:t>
      </w:r>
      <w:r w:rsidR="00E00708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C2774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8A0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BC2774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 </w:t>
      </w:r>
      <w:r w:rsidR="005C38A0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C2774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resumptive </w:t>
      </w:r>
      <w:r w:rsidR="005C38A0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C2774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vidence of </w:t>
      </w:r>
      <w:r w:rsidR="005C38A0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C2774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mmunity to </w:t>
      </w:r>
      <w:r w:rsidR="005C38A0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C2774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>easles</w:t>
      </w:r>
      <w:r w:rsidR="008D11C0" w:rsidRPr="008E4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1C0" w:rsidRPr="008E48F7">
        <w:rPr>
          <w:rFonts w:ascii="Times New Roman" w:hAnsi="Times New Roman" w:cs="Times New Roman"/>
          <w:sz w:val="24"/>
          <w:szCs w:val="24"/>
        </w:rPr>
        <w:t>(</w:t>
      </w:r>
      <w:hyperlink r:id="rId34">
        <w:r w:rsidR="00D24661">
          <w:rPr>
            <w:rStyle w:val="Hyperlink"/>
            <w:rFonts w:ascii="Times New Roman" w:hAnsi="Times New Roman" w:cs="Times New Roman"/>
            <w:sz w:val="24"/>
            <w:szCs w:val="24"/>
          </w:rPr>
          <w:t>CDC April 12, 2024</w:t>
        </w:r>
      </w:hyperlink>
      <w:r w:rsidR="008D11C0" w:rsidRPr="008E48F7">
        <w:rPr>
          <w:rFonts w:ascii="Times New Roman" w:hAnsi="Times New Roman" w:cs="Times New Roman"/>
          <w:sz w:val="24"/>
          <w:szCs w:val="24"/>
        </w:rPr>
        <w:t>):</w:t>
      </w:r>
    </w:p>
    <w:p w14:paraId="3577E1C5" w14:textId="0349D003" w:rsidR="009F4637" w:rsidRDefault="00BC2774" w:rsidP="009F4637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Presumptive evidence of immunity to measles for HCP includes:</w:t>
      </w:r>
    </w:p>
    <w:p w14:paraId="531D052D" w14:textId="77777777" w:rsidR="009F4637" w:rsidRPr="009F4637" w:rsidRDefault="00BC2774" w:rsidP="009F4637">
      <w:pPr>
        <w:pStyle w:val="Heading2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Written documentation of vaccination with 2 doses of measles virus-containing vaccine (the first dose administered at age ≥12 months; the second dose no earlier than 28 days after the first dose); OR</w:t>
      </w:r>
    </w:p>
    <w:p w14:paraId="1B5C7B8C" w14:textId="77777777" w:rsidR="009F4637" w:rsidRPr="009F4637" w:rsidRDefault="00BC2774" w:rsidP="009F4637">
      <w:pPr>
        <w:pStyle w:val="Heading2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Laboratory evidence of immunity (measles immunoglobulin G [IgG] in serum; equivocal results are considered negative); OR</w:t>
      </w:r>
    </w:p>
    <w:p w14:paraId="45FC686D" w14:textId="77777777" w:rsidR="009F4637" w:rsidRPr="009F4637" w:rsidRDefault="00BC2774" w:rsidP="009F4637">
      <w:pPr>
        <w:pStyle w:val="Heading2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Laboratory confirmation of disease; OR</w:t>
      </w:r>
    </w:p>
    <w:p w14:paraId="7F3EEAC5" w14:textId="77777777" w:rsidR="009F4637" w:rsidRPr="009F4637" w:rsidRDefault="00BC2774" w:rsidP="009F4637">
      <w:pPr>
        <w:pStyle w:val="Heading2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Birth before 1957.</w:t>
      </w:r>
    </w:p>
    <w:p w14:paraId="2BC18B38" w14:textId="37957C40" w:rsidR="009F4637" w:rsidRPr="009F4637" w:rsidRDefault="00BC2774" w:rsidP="009F4637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Consider vaccinating HCP</w:t>
      </w:r>
      <w:r w:rsidR="00E00708"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born before 1957 who do not have other evidence of immunity to measles.</w:t>
      </w:r>
    </w:p>
    <w:p w14:paraId="3B069C5D" w14:textId="196336A0" w:rsidR="009F4637" w:rsidRPr="009F4637" w:rsidRDefault="00BC2774" w:rsidP="009F4637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During a measles outbreak</w:t>
      </w:r>
      <w:r w:rsidR="1FA312B2"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healthcare facility</w:t>
      </w: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, 2 doses of measles virus-containing vaccine are recommended for all HCP</w:t>
      </w:r>
      <w:r w:rsidR="00E00708"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, regardless of year of birth.</w:t>
      </w:r>
    </w:p>
    <w:p w14:paraId="748C9DDA" w14:textId="0B348BE2" w:rsidR="009F4637" w:rsidRDefault="0065095D" w:rsidP="009F4637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Minimize Potential Measles Exposures</w:t>
      </w:r>
    </w:p>
    <w:p w14:paraId="314F0371" w14:textId="36909221" w:rsidR="009F4637" w:rsidRPr="009F4637" w:rsidRDefault="0065095D" w:rsidP="009F4637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Before arriv</w:t>
      </w:r>
      <w:r w:rsidR="00036340"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 healthcare setting</w:t>
      </w:r>
    </w:p>
    <w:p w14:paraId="3F43E1FD" w14:textId="77777777" w:rsidR="009F4637" w:rsidRPr="009F4637" w:rsidRDefault="0065095D" w:rsidP="009F4637">
      <w:pPr>
        <w:pStyle w:val="Heading2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When scheduling appointments by phone:</w:t>
      </w:r>
    </w:p>
    <w:p w14:paraId="773A8E14" w14:textId="0B4F7E94" w:rsidR="009F4637" w:rsidRPr="009F4637" w:rsidRDefault="0065095D" w:rsidP="009F4637">
      <w:pPr>
        <w:pStyle w:val="Heading2"/>
        <w:numPr>
          <w:ilvl w:val="4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persons with signs or symptoms of measles, provide instructions for arrival, including which entrance to use and the precautions to take (e.g., how to notify hospital staff, don a facemask upon entry, </w:t>
      </w:r>
      <w:r w:rsidR="00E00708"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follow triage procedures).</w:t>
      </w:r>
    </w:p>
    <w:p w14:paraId="2D3A3FD4" w14:textId="05F84B9B" w:rsidR="009F4637" w:rsidRPr="009F4637" w:rsidRDefault="0065095D" w:rsidP="009F4637">
      <w:pPr>
        <w:pStyle w:val="Heading2"/>
        <w:numPr>
          <w:ilvl w:val="4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Instruct Emergency Services to notify the receiving facility/accepting physician in advance when transporting a patient with known or suspected measles</w:t>
      </w:r>
      <w:r w:rsidRPr="009F4637">
        <w:rPr>
          <w:rFonts w:ascii="Times New Roman" w:hAnsi="Times New Roman" w:cs="Times New Roman"/>
          <w:sz w:val="24"/>
          <w:szCs w:val="24"/>
        </w:rPr>
        <w:t xml:space="preserve"> (</w:t>
      </w:r>
      <w:hyperlink r:id="rId35" w:history="1">
        <w:r w:rsidR="00E00708" w:rsidRPr="009F4637">
          <w:rPr>
            <w:rStyle w:val="Hyperlink"/>
            <w:rFonts w:ascii="Times New Roman" w:hAnsi="Times New Roman" w:cs="Times New Roman"/>
            <w:sz w:val="24"/>
            <w:szCs w:val="24"/>
          </w:rPr>
          <w:t>CDC, April 12, 2024</w:t>
        </w:r>
      </w:hyperlink>
      <w:r w:rsidRPr="009F4637">
        <w:rPr>
          <w:rFonts w:ascii="Times New Roman" w:hAnsi="Times New Roman" w:cs="Times New Roman"/>
          <w:sz w:val="24"/>
          <w:szCs w:val="24"/>
        </w:rPr>
        <w:t>).</w:t>
      </w:r>
    </w:p>
    <w:p w14:paraId="2EAF80BB" w14:textId="50B2C97A" w:rsidR="009F4637" w:rsidRPr="009F4637" w:rsidRDefault="0065095D" w:rsidP="009F4637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Upon arrival to a healthcare setting</w:t>
      </w:r>
    </w:p>
    <w:p w14:paraId="1DEA622C" w14:textId="77777777" w:rsidR="009F4637" w:rsidRPr="009F4637" w:rsidRDefault="0065095D" w:rsidP="009F4637">
      <w:pPr>
        <w:pStyle w:val="Heading2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Utilize existing triage stations for rapid identification and isolation of patients with measles.</w:t>
      </w:r>
    </w:p>
    <w:p w14:paraId="43C4FC77" w14:textId="0F0E00B4" w:rsidR="009F4637" w:rsidRPr="009F4637" w:rsidRDefault="0065095D" w:rsidP="009F4637">
      <w:pPr>
        <w:pStyle w:val="Heading2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Persons with signs or symptoms of measles should be identified, </w:t>
      </w:r>
      <w:r w:rsidR="59512D92"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provided with</w:t>
      </w: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6172A51E"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>face mask</w:t>
      </w:r>
      <w:r w:rsidRPr="009F4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(either a procedure or surgical mask) to wear, and separated from other patients prior to or as soon as possible after entry into a facility </w:t>
      </w:r>
      <w:r w:rsidR="00E00708" w:rsidRPr="009F4637">
        <w:rPr>
          <w:rFonts w:ascii="Times New Roman" w:hAnsi="Times New Roman" w:cs="Times New Roman"/>
          <w:sz w:val="24"/>
          <w:szCs w:val="24"/>
        </w:rPr>
        <w:t>(</w:t>
      </w:r>
      <w:hyperlink r:id="rId36">
        <w:r w:rsidR="00E00708" w:rsidRPr="009F4637">
          <w:rPr>
            <w:rStyle w:val="Hyperlink"/>
            <w:rFonts w:ascii="Times New Roman" w:hAnsi="Times New Roman" w:cs="Times New Roman"/>
            <w:sz w:val="24"/>
            <w:szCs w:val="24"/>
          </w:rPr>
          <w:t>CDC, April 12, 2024</w:t>
        </w:r>
      </w:hyperlink>
      <w:r w:rsidR="00E00708" w:rsidRPr="009F4637">
        <w:rPr>
          <w:rFonts w:ascii="Times New Roman" w:hAnsi="Times New Roman" w:cs="Times New Roman"/>
          <w:sz w:val="24"/>
          <w:szCs w:val="24"/>
        </w:rPr>
        <w:t>).</w:t>
      </w:r>
    </w:p>
    <w:p w14:paraId="749D3998" w14:textId="77777777" w:rsidR="0078768D" w:rsidRPr="00385511" w:rsidRDefault="0065095D" w:rsidP="0078768D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Facilitate adherence to respiratory hygiene, cough etiquette, hand hygiene, and triage procedures.</w:t>
      </w:r>
    </w:p>
    <w:p w14:paraId="5B224293" w14:textId="77777777" w:rsidR="0078768D" w:rsidRPr="00385511" w:rsidRDefault="0065095D" w:rsidP="0078768D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Post visual alerts (e.g., signs, posters) in appropriate languages about respiratory hygiene, cough etiquette, and hand hygiene at the facility entrance and in common areas (e.g., waiting areas, elevators, cafeterias).</w:t>
      </w:r>
    </w:p>
    <w:p w14:paraId="4FEE72A6" w14:textId="77777777" w:rsidR="0078768D" w:rsidRPr="00385511" w:rsidRDefault="0065095D" w:rsidP="0078768D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Provide </w:t>
      </w:r>
      <w:r w:rsidR="00E45A8C"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signs or symptoms of measles with instructions on all relevant infection control expectations.</w:t>
      </w:r>
    </w:p>
    <w:p w14:paraId="6D3B2772" w14:textId="77777777" w:rsidR="0078768D" w:rsidRPr="00385511" w:rsidRDefault="0065095D" w:rsidP="0078768D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Make supplies to perform hand hygiene available to all persons in the facility.</w:t>
      </w:r>
    </w:p>
    <w:p w14:paraId="5B685E1A" w14:textId="77777777" w:rsidR="00385511" w:rsidRDefault="0065095D" w:rsidP="00385511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Provide supplies (e.g., facemasks) near the visual alerts if possible</w:t>
      </w:r>
      <w:r w:rsidRPr="0078768D">
        <w:rPr>
          <w:rFonts w:ascii="Times New Roman" w:hAnsi="Times New Roman" w:cs="Times New Roman"/>
          <w:sz w:val="24"/>
          <w:szCs w:val="24"/>
        </w:rPr>
        <w:t xml:space="preserve"> </w:t>
      </w:r>
      <w:r w:rsidR="00E00708" w:rsidRPr="0078768D">
        <w:rPr>
          <w:rFonts w:ascii="Times New Roman" w:hAnsi="Times New Roman" w:cs="Times New Roman"/>
          <w:sz w:val="24"/>
          <w:szCs w:val="24"/>
        </w:rPr>
        <w:t>(</w:t>
      </w:r>
      <w:hyperlink r:id="rId37" w:history="1">
        <w:r w:rsidR="00E00708" w:rsidRPr="0078768D">
          <w:rPr>
            <w:rStyle w:val="Hyperlink"/>
            <w:rFonts w:ascii="Times New Roman" w:hAnsi="Times New Roman" w:cs="Times New Roman"/>
            <w:sz w:val="24"/>
            <w:szCs w:val="24"/>
          </w:rPr>
          <w:t>CDC, April 12, 2024</w:t>
        </w:r>
      </w:hyperlink>
      <w:r w:rsidR="00E00708" w:rsidRPr="0078768D">
        <w:rPr>
          <w:rFonts w:ascii="Times New Roman" w:hAnsi="Times New Roman" w:cs="Times New Roman"/>
          <w:sz w:val="24"/>
          <w:szCs w:val="24"/>
        </w:rPr>
        <w:t>).</w:t>
      </w:r>
    </w:p>
    <w:p w14:paraId="23A74DF5" w14:textId="77777777" w:rsidR="00385511" w:rsidRPr="00385511" w:rsidRDefault="00BC6563" w:rsidP="00385511">
      <w:pPr>
        <w:pStyle w:val="Heading2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sz w:val="24"/>
          <w:szCs w:val="24"/>
        </w:rPr>
        <w:t>Personal Protective Equipment (PPE)</w:t>
      </w:r>
    </w:p>
    <w:p w14:paraId="290471F1" w14:textId="77777777" w:rsidR="00385511" w:rsidRPr="00385511" w:rsidRDefault="00EC354B" w:rsidP="00385511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Assure use of OSHA</w:t>
      </w:r>
      <w:r w:rsidR="00E00708"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approved N-95 </w:t>
      </w:r>
      <w:r w:rsidR="00E91CEF"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respirator</w:t>
      </w: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PAPR</w:t>
      </w:r>
    </w:p>
    <w:p w14:paraId="4FC55531" w14:textId="77777777" w:rsidR="00385511" w:rsidRPr="00385511" w:rsidRDefault="00EC354B" w:rsidP="00385511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HCP</w:t>
      </w:r>
      <w:r w:rsidR="00E00708"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without acceptable presumptive evidence of measles immunity should not enter a known or suspected measles patient’s room if HCP</w:t>
      </w:r>
      <w:r w:rsidR="00E00708"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presumptive evidence of immunity are available.</w:t>
      </w:r>
    </w:p>
    <w:p w14:paraId="02D4B938" w14:textId="77777777" w:rsidR="00385511" w:rsidRPr="00385511" w:rsidRDefault="00703EC0" w:rsidP="00385511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healthcare staff should use respiratory protection consistent with airborne precautions such as N95 respirator or a respirator with similar effectiveness, regardless of immunity status.  </w:t>
      </w:r>
    </w:p>
    <w:p w14:paraId="668DE1CD" w14:textId="77777777" w:rsidR="00385511" w:rsidRPr="00385511" w:rsidRDefault="00EC354B" w:rsidP="00385511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Respiratory Protection:</w:t>
      </w:r>
    </w:p>
    <w:p w14:paraId="2E78723B" w14:textId="77777777" w:rsidR="00385511" w:rsidRPr="00385511" w:rsidRDefault="00EC354B" w:rsidP="00385511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HCP should use respiratory protection (i.e., a respirator) that is at least as protective as a fit-tested, NIOSH-certified disposable N95 filtering facepiece respirator, regardless of presumptive evidence of immunity, upon entry to the room or care area of a patient with known or suspected measles.</w:t>
      </w:r>
    </w:p>
    <w:p w14:paraId="3F86AD6B" w14:textId="77777777" w:rsidR="00385511" w:rsidRPr="00385511" w:rsidRDefault="00EC354B" w:rsidP="00385511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Respirator use must be in the context of a complete respiratory protection program in accordance with Occupational Safety and Health Administration (OSHA) Respiratory Protection Standard 29 CFR 1910.134.</w:t>
      </w:r>
    </w:p>
    <w:p w14:paraId="66215C5F" w14:textId="77777777" w:rsidR="00385511" w:rsidRDefault="00EC354B" w:rsidP="00385511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HCP should be medically cleared and fit-tested if using respirators with tight-fitting facepieces (e.g., a NIOSH-certified disposable N95) and trained in the proper use of respirators, safe removal and disposal, and medical contraindications to respirator use </w:t>
      </w:r>
      <w:r w:rsidR="00E00708" w:rsidRPr="00385511">
        <w:rPr>
          <w:rFonts w:ascii="Times New Roman" w:hAnsi="Times New Roman" w:cs="Times New Roman"/>
          <w:sz w:val="24"/>
          <w:szCs w:val="24"/>
        </w:rPr>
        <w:t>(</w:t>
      </w:r>
      <w:hyperlink r:id="rId38" w:history="1">
        <w:r w:rsidR="00E00708" w:rsidRPr="00385511">
          <w:rPr>
            <w:rStyle w:val="Hyperlink"/>
            <w:rFonts w:ascii="Times New Roman" w:hAnsi="Times New Roman" w:cs="Times New Roman"/>
            <w:sz w:val="24"/>
            <w:szCs w:val="24"/>
          </w:rPr>
          <w:t>CDC, April 12, 2024</w:t>
        </w:r>
      </w:hyperlink>
      <w:r w:rsidR="00E00708" w:rsidRPr="00385511">
        <w:rPr>
          <w:rFonts w:ascii="Times New Roman" w:hAnsi="Times New Roman" w:cs="Times New Roman"/>
          <w:sz w:val="24"/>
          <w:szCs w:val="24"/>
        </w:rPr>
        <w:t>)</w:t>
      </w:r>
      <w:r w:rsidRPr="00385511">
        <w:rPr>
          <w:rFonts w:ascii="Times New Roman" w:hAnsi="Times New Roman" w:cs="Times New Roman"/>
          <w:sz w:val="24"/>
          <w:szCs w:val="24"/>
        </w:rPr>
        <w:t>.</w:t>
      </w:r>
    </w:p>
    <w:p w14:paraId="0F714955" w14:textId="77777777" w:rsidR="00385511" w:rsidRPr="00385511" w:rsidRDefault="00BC6563" w:rsidP="00385511">
      <w:pPr>
        <w:pStyle w:val="Heading2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sz w:val="24"/>
          <w:szCs w:val="24"/>
        </w:rPr>
        <w:t>Disinfection and Waste Considerations</w:t>
      </w:r>
    </w:p>
    <w:p w14:paraId="76911735" w14:textId="2FE68E1A" w:rsidR="00385511" w:rsidRPr="00385511" w:rsidRDefault="00470966" w:rsidP="00385511">
      <w:pPr>
        <w:pStyle w:val="Heading2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Use an EPA</w:t>
      </w:r>
      <w:r w:rsidR="00E00708"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registered disinfectant for healthcare settings, per </w:t>
      </w:r>
      <w:r w:rsidR="00E00708"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385511">
        <w:rPr>
          <w:rFonts w:ascii="Times New Roman" w:hAnsi="Times New Roman" w:cs="Times New Roman"/>
          <w:color w:val="000000" w:themeColor="text1"/>
          <w:sz w:val="24"/>
          <w:szCs w:val="24"/>
        </w:rPr>
        <w:t>manufacturer’s instructions.</w:t>
      </w:r>
    </w:p>
    <w:p w14:paraId="5D837AF2" w14:textId="080BC449" w:rsidR="00BC6563" w:rsidRPr="00385511" w:rsidRDefault="00BC6563" w:rsidP="00385511">
      <w:pPr>
        <w:pStyle w:val="Heading2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511">
        <w:rPr>
          <w:rFonts w:ascii="Times New Roman" w:hAnsi="Times New Roman" w:cs="Times New Roman"/>
          <w:sz w:val="24"/>
          <w:szCs w:val="24"/>
        </w:rPr>
        <w:t>Patient Transport</w:t>
      </w:r>
    </w:p>
    <w:p w14:paraId="7F88E8B3" w14:textId="77777777" w:rsidR="00EC354B" w:rsidRPr="00670152" w:rsidRDefault="00EC354B" w:rsidP="00EC35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lastRenderedPageBreak/>
        <w:t>Limit transport of patients with known or suspected measles to essential purposes, such as diagnostic and therapeutic procedures that cannot be performed in the patient’s room or in the facility.</w:t>
      </w:r>
    </w:p>
    <w:p w14:paraId="780D7762" w14:textId="77777777" w:rsidR="00385511" w:rsidRDefault="00EC354B" w:rsidP="0038551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 When transport within the facility is </w:t>
      </w:r>
      <w:r w:rsidR="00385511">
        <w:rPr>
          <w:rFonts w:ascii="Times New Roman" w:hAnsi="Times New Roman" w:cs="Times New Roman"/>
          <w:sz w:val="24"/>
          <w:szCs w:val="24"/>
        </w:rPr>
        <w:t xml:space="preserve">necessary, ensure: </w:t>
      </w:r>
    </w:p>
    <w:p w14:paraId="30BC4B90" w14:textId="375CA407" w:rsidR="00EC354B" w:rsidRPr="00385511" w:rsidRDefault="00EC354B" w:rsidP="00385511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85511">
        <w:rPr>
          <w:rFonts w:ascii="Times New Roman" w:hAnsi="Times New Roman" w:cs="Times New Roman"/>
          <w:sz w:val="24"/>
          <w:szCs w:val="24"/>
        </w:rPr>
        <w:t>The patient should wear a facemask if tolerated.</w:t>
      </w:r>
    </w:p>
    <w:p w14:paraId="42AB9C98" w14:textId="77777777" w:rsidR="00EC354B" w:rsidRPr="00670152" w:rsidRDefault="00EC354B" w:rsidP="00EC354B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Use a transportation route and process that includes minimal contact with persons not essential for the patient’s care.</w:t>
      </w:r>
    </w:p>
    <w:p w14:paraId="4CA33F6C" w14:textId="667056EF" w:rsidR="00EC354B" w:rsidRPr="00670152" w:rsidRDefault="00EC354B" w:rsidP="00EC354B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Notify </w:t>
      </w:r>
      <w:r w:rsidR="00E00708" w:rsidRPr="00670152">
        <w:rPr>
          <w:rFonts w:ascii="Times New Roman" w:hAnsi="Times New Roman" w:cs="Times New Roman"/>
          <w:sz w:val="24"/>
          <w:szCs w:val="24"/>
        </w:rPr>
        <w:t xml:space="preserve">the </w:t>
      </w:r>
      <w:r w:rsidRPr="00670152">
        <w:rPr>
          <w:rFonts w:ascii="Times New Roman" w:hAnsi="Times New Roman" w:cs="Times New Roman"/>
          <w:sz w:val="24"/>
          <w:szCs w:val="24"/>
        </w:rPr>
        <w:t>HCP in the receiving area of the impending arrival of the patient and of the precautions necessary to prevent transmission.</w:t>
      </w:r>
    </w:p>
    <w:p w14:paraId="29F7ED89" w14:textId="55822512" w:rsidR="00621A7B" w:rsidRPr="00670152" w:rsidRDefault="00EC354B" w:rsidP="00EC354B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When transport outside the facility is necessary, inform the receiving facility and the transport vehicle HCP in advance about airborne precautions being used </w:t>
      </w:r>
      <w:r w:rsidR="00E00708" w:rsidRPr="00670152">
        <w:rPr>
          <w:rFonts w:ascii="Times New Roman" w:hAnsi="Times New Roman" w:cs="Times New Roman"/>
          <w:sz w:val="24"/>
          <w:szCs w:val="24"/>
        </w:rPr>
        <w:t>(</w:t>
      </w:r>
      <w:hyperlink r:id="rId39" w:history="1">
        <w:r w:rsidR="00E00708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CDC, April 12, 2024</w:t>
        </w:r>
      </w:hyperlink>
      <w:r w:rsidR="00E00708" w:rsidRPr="00670152">
        <w:rPr>
          <w:rFonts w:ascii="Times New Roman" w:hAnsi="Times New Roman" w:cs="Times New Roman"/>
          <w:sz w:val="24"/>
          <w:szCs w:val="24"/>
        </w:rPr>
        <w:t>).</w:t>
      </w:r>
    </w:p>
    <w:p w14:paraId="2E749D4A" w14:textId="77777777" w:rsidR="00304F49" w:rsidRDefault="00BC6563" w:rsidP="00304F49">
      <w:pPr>
        <w:pStyle w:val="Heading2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 Air Handling</w:t>
      </w:r>
    </w:p>
    <w:p w14:paraId="1EE456CC" w14:textId="77777777" w:rsidR="00304F49" w:rsidRPr="00304F49" w:rsidRDefault="007005EB" w:rsidP="00304F49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Immediately place patients with known or suspected measles in an airborne infection isolation room (AIIR).</w:t>
      </w:r>
    </w:p>
    <w:p w14:paraId="49E08C83" w14:textId="77777777" w:rsidR="00304F49" w:rsidRPr="00304F49" w:rsidRDefault="007005EB" w:rsidP="00304F49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patient’s facemask </w:t>
      </w:r>
      <w:r w:rsidR="00635CBD"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may</w:t>
      </w: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removed </w:t>
      </w:r>
      <w:proofErr w:type="gramStart"/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as long as</w:t>
      </w:r>
      <w:proofErr w:type="gramEnd"/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they remain in the AIIR.</w:t>
      </w:r>
    </w:p>
    <w:p w14:paraId="679D21BA" w14:textId="77777777" w:rsidR="00304F49" w:rsidRPr="00304F49" w:rsidRDefault="007005EB" w:rsidP="00304F49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If an AIIR is not available, transfer the patient as soon as possible to a facility where an AIIR is available.</w:t>
      </w:r>
    </w:p>
    <w:p w14:paraId="38A14492" w14:textId="77777777" w:rsidR="00304F49" w:rsidRPr="00304F49" w:rsidRDefault="007005EB" w:rsidP="00304F49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Pending transfer, place the masked patient in a private room with the door closed. If feasible, the patient should continue to wear the mask for the duration of time spent in the non-AIIR room.</w:t>
      </w:r>
    </w:p>
    <w:p w14:paraId="2E738817" w14:textId="77777777" w:rsidR="00304F49" w:rsidRPr="00304F49" w:rsidRDefault="007005EB" w:rsidP="00304F49">
      <w:pPr>
        <w:pStyle w:val="Heading2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Preferably, the patient should be placed in a room where the exhaust is recirculated with high-efficiency particulate air (HEPA) filtration.</w:t>
      </w:r>
    </w:p>
    <w:p w14:paraId="55AF5489" w14:textId="77777777" w:rsidR="00304F49" w:rsidRDefault="00831E6C" w:rsidP="00304F49">
      <w:pPr>
        <w:pStyle w:val="Heading2"/>
        <w:numPr>
          <w:ilvl w:val="3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Measles has been reported to survive in </w:t>
      </w:r>
      <w:r w:rsidR="00E00708"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air for up to 2 hours. </w:t>
      </w:r>
      <w:r w:rsidR="007005EB"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patient leaves the room, it should remain vacant for the appropriate time (up to 2 hours) to allow for 99.9% of airborne-contaminant removal. </w:t>
      </w:r>
      <w:r w:rsidR="00635CBD"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Table B1 “Air changes/hour (ACH) and time required for airborne-contaminant removal by efficiency” from the</w:t>
      </w:r>
      <w:r w:rsidR="00E00708"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0">
        <w:r w:rsidR="00E00708" w:rsidRPr="00304F49">
          <w:rPr>
            <w:rStyle w:val="Hyperlink"/>
            <w:rFonts w:ascii="Times New Roman" w:hAnsi="Times New Roman" w:cs="Times New Roman"/>
            <w:sz w:val="24"/>
            <w:szCs w:val="24"/>
          </w:rPr>
          <w:t>2003 Guidelines for Environmental Infection Control in Health-Care Facilities (CDC, January 11, 2024).</w:t>
        </w:r>
      </w:hyperlink>
      <w:r w:rsidR="00E00708" w:rsidRPr="00304F49">
        <w:rPr>
          <w:rFonts w:ascii="Times New Roman" w:hAnsi="Times New Roman" w:cs="Times New Roman"/>
          <w:sz w:val="24"/>
          <w:szCs w:val="24"/>
        </w:rPr>
        <w:t xml:space="preserve"> </w:t>
      </w:r>
      <w:r w:rsidR="004E0394" w:rsidRPr="00304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47654" w14:textId="77777777" w:rsidR="00304F49" w:rsidRPr="00304F49" w:rsidRDefault="007005EB" w:rsidP="00304F49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An AIIR should meet current standards, including:</w:t>
      </w:r>
    </w:p>
    <w:p w14:paraId="2507C7D1" w14:textId="77777777" w:rsidR="00304F49" w:rsidRPr="00304F49" w:rsidRDefault="00B961BD" w:rsidP="00304F49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 with facility management to ensure AIIR functionality.  </w:t>
      </w:r>
    </w:p>
    <w:p w14:paraId="1D2EC9DB" w14:textId="77777777" w:rsidR="00304F49" w:rsidRPr="00304F49" w:rsidRDefault="00B961BD" w:rsidP="00304F49">
      <w:pPr>
        <w:pStyle w:val="Heading2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Functionality includes:</w:t>
      </w:r>
    </w:p>
    <w:p w14:paraId="025E1DB3" w14:textId="77777777" w:rsidR="00304F49" w:rsidRPr="00304F49" w:rsidRDefault="007005EB" w:rsidP="00304F49">
      <w:pPr>
        <w:pStyle w:val="Heading2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Providing at least six (existing facility) or 12 (new construction/renovation) air changes per hour.</w:t>
      </w:r>
    </w:p>
    <w:p w14:paraId="1BB63ADA" w14:textId="77777777" w:rsidR="00304F49" w:rsidRPr="00304F49" w:rsidRDefault="007005EB" w:rsidP="00304F49">
      <w:pPr>
        <w:pStyle w:val="Heading2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Directing exhaust of air to the outside.</w:t>
      </w:r>
    </w:p>
    <w:p w14:paraId="7DE2FB50" w14:textId="77777777" w:rsidR="00304F49" w:rsidRPr="00304F49" w:rsidRDefault="00304F49" w:rsidP="00304F49">
      <w:pPr>
        <w:pStyle w:val="Heading2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005EB"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f an AIIR does not directly exhaust to the outside, the air may be returned to the air-handling system or adjacent spaces if all air is directed through HEPA filters.</w:t>
      </w:r>
    </w:p>
    <w:p w14:paraId="2EA1D87D" w14:textId="77777777" w:rsidR="00304F49" w:rsidRPr="00304F49" w:rsidRDefault="007005EB" w:rsidP="00304F49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When an AIIR is in use for a patient on Airborne Precautions, monitor air pressure daily with visual indicators (e.g., smoke tubes, flutter strips), regardless of the presence of differential pressure sensing devices (e.g., manometers).</w:t>
      </w:r>
    </w:p>
    <w:p w14:paraId="3D84A1B2" w14:textId="1CB3892A" w:rsidR="007005EB" w:rsidRPr="00304F49" w:rsidRDefault="007005EB" w:rsidP="00304F49">
      <w:pPr>
        <w:pStyle w:val="Heading2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Keep the AIIR door closed when </w:t>
      </w:r>
      <w:r w:rsidR="00EC354B" w:rsidRPr="00304F49">
        <w:rPr>
          <w:rFonts w:ascii="Times New Roman" w:hAnsi="Times New Roman" w:cs="Times New Roman"/>
          <w:color w:val="000000" w:themeColor="text1"/>
          <w:sz w:val="24"/>
          <w:szCs w:val="24"/>
        </w:rPr>
        <w:t>not required for entry and exit</w:t>
      </w:r>
      <w:r w:rsidR="00EC354B" w:rsidRPr="00304F49">
        <w:rPr>
          <w:rFonts w:ascii="Times New Roman" w:hAnsi="Times New Roman" w:cs="Times New Roman"/>
          <w:sz w:val="24"/>
          <w:szCs w:val="24"/>
        </w:rPr>
        <w:t xml:space="preserve"> (</w:t>
      </w:r>
      <w:hyperlink r:id="rId41" w:history="1">
        <w:r w:rsidR="00E00708" w:rsidRPr="00304F49">
          <w:rPr>
            <w:rStyle w:val="Hyperlink"/>
            <w:rFonts w:ascii="Times New Roman" w:hAnsi="Times New Roman" w:cs="Times New Roman"/>
            <w:sz w:val="24"/>
            <w:szCs w:val="24"/>
          </w:rPr>
          <w:t>CDC, April 12, 2024</w:t>
        </w:r>
      </w:hyperlink>
      <w:r w:rsidR="00E00708" w:rsidRPr="00304F49">
        <w:rPr>
          <w:rFonts w:ascii="Times New Roman" w:hAnsi="Times New Roman" w:cs="Times New Roman"/>
          <w:sz w:val="24"/>
          <w:szCs w:val="24"/>
        </w:rPr>
        <w:t>).</w:t>
      </w:r>
    </w:p>
    <w:p w14:paraId="01A63669" w14:textId="77777777" w:rsidR="0077669F" w:rsidRDefault="00BC6563" w:rsidP="0077669F">
      <w:pPr>
        <w:pStyle w:val="Heading2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Exposure Monitoring</w:t>
      </w:r>
    </w:p>
    <w:p w14:paraId="41316BAC" w14:textId="5C59F203" w:rsidR="00961339" w:rsidRPr="0077669F" w:rsidRDefault="00FB0976" w:rsidP="0077669F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occupational exposure, see </w:t>
      </w:r>
      <w:r w:rsidR="00E00708" w:rsidRPr="00776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77669F">
        <w:rPr>
          <w:rFonts w:ascii="Times New Roman" w:hAnsi="Times New Roman" w:cs="Times New Roman"/>
          <w:color w:val="000000" w:themeColor="text1"/>
          <w:sz w:val="24"/>
          <w:szCs w:val="24"/>
        </w:rPr>
        <w:t>section below.</w:t>
      </w:r>
    </w:p>
    <w:p w14:paraId="6B7391F1" w14:textId="682B9785" w:rsidR="00FB0976" w:rsidRPr="00670152" w:rsidRDefault="00FB0976" w:rsidP="0037602C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For patient exposure, partner with the local health department for next steps.</w:t>
      </w:r>
    </w:p>
    <w:p w14:paraId="787A5125" w14:textId="77777777" w:rsidR="0077669F" w:rsidRDefault="00BC6563" w:rsidP="0077669F">
      <w:pPr>
        <w:pStyle w:val="Heading2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lastRenderedPageBreak/>
        <w:t>Census Tracking</w:t>
      </w:r>
    </w:p>
    <w:p w14:paraId="05E4746E" w14:textId="489E3594" w:rsidR="00016028" w:rsidRPr="0077669F" w:rsidRDefault="00FB0976" w:rsidP="0077669F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Trend census with measles cases to provide </w:t>
      </w:r>
      <w:r w:rsidR="000E1DE0" w:rsidRPr="0077669F">
        <w:rPr>
          <w:rFonts w:ascii="Times New Roman" w:hAnsi="Times New Roman" w:cs="Times New Roman"/>
          <w:color w:val="000000" w:themeColor="text1"/>
          <w:sz w:val="24"/>
          <w:szCs w:val="24"/>
        </w:rPr>
        <w:t>awareness and</w:t>
      </w:r>
      <w:r w:rsidRPr="00776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determine additional support and resources.</w:t>
      </w:r>
    </w:p>
    <w:p w14:paraId="28534F78" w14:textId="0ADEE109" w:rsidR="00D93141" w:rsidRPr="00036340" w:rsidRDefault="00D93141" w:rsidP="00BC6563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340">
        <w:rPr>
          <w:rFonts w:ascii="Times New Roman" w:hAnsi="Times New Roman" w:cs="Times New Roman"/>
          <w:color w:val="000000" w:themeColor="text1"/>
          <w:sz w:val="24"/>
          <w:szCs w:val="24"/>
        </w:rPr>
        <w:t>Providing Patient Care</w:t>
      </w:r>
    </w:p>
    <w:p w14:paraId="3D09D9AA" w14:textId="654C9EAF" w:rsidR="00DA2E8A" w:rsidRPr="00670152" w:rsidRDefault="00BC6563" w:rsidP="00DA2E8A">
      <w:pPr>
        <w:pStyle w:val="Heading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High-Risk Procedures</w:t>
      </w:r>
    </w:p>
    <w:p w14:paraId="5CC6D350" w14:textId="524084BB" w:rsidR="007C7BA2" w:rsidRPr="00670152" w:rsidRDefault="4D15A761" w:rsidP="1ABB1459">
      <w:pPr>
        <w:pStyle w:val="ListParagraph"/>
        <w:numPr>
          <w:ilvl w:val="0"/>
          <w:numId w:val="22"/>
        </w:numPr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670152">
        <w:rPr>
          <w:rFonts w:ascii="Times New Roman" w:eastAsia="Calibri" w:hAnsi="Times New Roman" w:cs="Times New Roman"/>
          <w:sz w:val="24"/>
          <w:szCs w:val="24"/>
        </w:rPr>
        <w:t>Performing aerosol generating procedures on an infected patient (e.g. intubation, airway suctioning) (</w:t>
      </w:r>
      <w:hyperlink r:id="rId42" w:history="1">
        <w:r w:rsidRPr="006701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OSHA</w:t>
        </w:r>
      </w:hyperlink>
      <w:r w:rsidRPr="00670152">
        <w:rPr>
          <w:rFonts w:ascii="Times New Roman" w:eastAsia="Calibri" w:hAnsi="Times New Roman" w:cs="Times New Roman"/>
          <w:sz w:val="24"/>
          <w:szCs w:val="24"/>
        </w:rPr>
        <w:t>, n.d.)</w:t>
      </w:r>
      <w:r w:rsidRPr="00670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C6837" w14:textId="1852FD13" w:rsidR="007C7BA2" w:rsidRPr="00670152" w:rsidRDefault="00DA2E8A" w:rsidP="1ABB1459">
      <w:pPr>
        <w:pStyle w:val="ListParagraph"/>
        <w:numPr>
          <w:ilvl w:val="0"/>
          <w:numId w:val="22"/>
        </w:numPr>
        <w:ind w:left="1440"/>
        <w:rPr>
          <w:rStyle w:val="Hyperlink"/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Any procedure where the airway is directly accessed is a </w:t>
      </w:r>
      <w:r w:rsidR="00407B91" w:rsidRPr="00670152">
        <w:rPr>
          <w:rFonts w:ascii="Times New Roman" w:hAnsi="Times New Roman" w:cs="Times New Roman"/>
          <w:sz w:val="24"/>
          <w:szCs w:val="24"/>
        </w:rPr>
        <w:t>high-risk</w:t>
      </w:r>
      <w:r w:rsidRPr="00670152">
        <w:rPr>
          <w:rFonts w:ascii="Times New Roman" w:hAnsi="Times New Roman" w:cs="Times New Roman"/>
          <w:sz w:val="24"/>
          <w:szCs w:val="24"/>
        </w:rPr>
        <w:t xml:space="preserve"> pro</w:t>
      </w:r>
      <w:r w:rsidR="007935C5" w:rsidRPr="00670152">
        <w:rPr>
          <w:rFonts w:ascii="Times New Roman" w:hAnsi="Times New Roman" w:cs="Times New Roman"/>
          <w:sz w:val="24"/>
          <w:szCs w:val="24"/>
        </w:rPr>
        <w:t>cedure</w:t>
      </w:r>
      <w:r w:rsidRPr="00670152">
        <w:rPr>
          <w:rFonts w:ascii="Times New Roman" w:hAnsi="Times New Roman" w:cs="Times New Roman"/>
          <w:sz w:val="24"/>
          <w:szCs w:val="24"/>
        </w:rPr>
        <w:t xml:space="preserve"> due to measles being transmitted by contact with infectious droplets or airborne spread (</w:t>
      </w:r>
      <w:hyperlink r:id="rId43">
        <w:r w:rsidR="00E00708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CDC, July 15, 2024</w:t>
        </w:r>
      </w:hyperlink>
      <w:r w:rsidR="00E00708" w:rsidRPr="00670152">
        <w:rPr>
          <w:rStyle w:val="Hyperlink"/>
          <w:rFonts w:ascii="Times New Roman" w:hAnsi="Times New Roman" w:cs="Times New Roman"/>
          <w:sz w:val="24"/>
          <w:szCs w:val="24"/>
        </w:rPr>
        <w:t xml:space="preserve">). </w:t>
      </w:r>
    </w:p>
    <w:p w14:paraId="0A8A20C5" w14:textId="5C0288CA" w:rsidR="70E95ECB" w:rsidRPr="00670152" w:rsidRDefault="70E95ECB" w:rsidP="2E63B17B">
      <w:pPr>
        <w:pStyle w:val="ListParagraph"/>
        <w:numPr>
          <w:ilvl w:val="0"/>
          <w:numId w:val="22"/>
        </w:numPr>
        <w:rPr>
          <w:rFonts w:ascii="Times New Roman" w:eastAsia="Calibri" w:hAnsi="Times New Roman" w:cs="Times New Roman"/>
          <w:sz w:val="24"/>
          <w:szCs w:val="24"/>
        </w:rPr>
      </w:pPr>
      <w:r w:rsidRPr="00670152">
        <w:rPr>
          <w:rFonts w:ascii="Times New Roman" w:eastAsia="Calibri" w:hAnsi="Times New Roman" w:cs="Times New Roman"/>
          <w:sz w:val="24"/>
          <w:szCs w:val="24"/>
        </w:rPr>
        <w:t xml:space="preserve">Perform diagnostic and therapeutic </w:t>
      </w:r>
      <w:proofErr w:type="gramStart"/>
      <w:r w:rsidRPr="00670152">
        <w:rPr>
          <w:rFonts w:ascii="Times New Roman" w:eastAsia="Calibri" w:hAnsi="Times New Roman" w:cs="Times New Roman"/>
          <w:sz w:val="24"/>
          <w:szCs w:val="24"/>
        </w:rPr>
        <w:t>procedures</w:t>
      </w:r>
      <w:proofErr w:type="gramEnd"/>
      <w:r w:rsidRPr="00670152">
        <w:rPr>
          <w:rFonts w:ascii="Times New Roman" w:eastAsia="Calibri" w:hAnsi="Times New Roman" w:cs="Times New Roman"/>
          <w:sz w:val="24"/>
          <w:szCs w:val="24"/>
        </w:rPr>
        <w:t xml:space="preserve"> when possible, in the patient’s AIIR. (</w:t>
      </w:r>
      <w:hyperlink r:id="rId44" w:history="1">
        <w:r w:rsidRPr="006701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CDC,</w:t>
        </w:r>
      </w:hyperlink>
      <w:r w:rsidRPr="00670152">
        <w:rPr>
          <w:rFonts w:ascii="Times New Roman" w:eastAsia="Calibri" w:hAnsi="Times New Roman" w:cs="Times New Roman"/>
          <w:sz w:val="24"/>
          <w:szCs w:val="24"/>
        </w:rPr>
        <w:t xml:space="preserve"> April 2024)</w:t>
      </w:r>
    </w:p>
    <w:p w14:paraId="078A76D9" w14:textId="5252F1F2" w:rsidR="00BC6563" w:rsidRPr="00670152" w:rsidRDefault="00BC6563" w:rsidP="00BC6563">
      <w:pPr>
        <w:pStyle w:val="Heading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Facility Operations</w:t>
      </w:r>
    </w:p>
    <w:p w14:paraId="335FAD1F" w14:textId="77777777" w:rsidR="00DA2E8A" w:rsidRPr="00670152" w:rsidRDefault="00DA2E8A" w:rsidP="00DA2E8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Linen:</w:t>
      </w:r>
    </w:p>
    <w:p w14:paraId="78814836" w14:textId="0DC97F60" w:rsidR="00DA2E8A" w:rsidRPr="00670152" w:rsidRDefault="00DA2E8A" w:rsidP="1ABB1459">
      <w:pPr>
        <w:pStyle w:val="ListParagraph"/>
        <w:numPr>
          <w:ilvl w:val="2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Managed by using Standard Precautions, per facility policy.</w:t>
      </w:r>
      <w:r w:rsidR="178392D3"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="178392D3" w:rsidRPr="00670152">
        <w:rPr>
          <w:rFonts w:ascii="Times New Roman" w:eastAsia="Calibri" w:hAnsi="Times New Roman" w:cs="Times New Roman"/>
          <w:sz w:val="24"/>
          <w:szCs w:val="24"/>
        </w:rPr>
        <w:t>(</w:t>
      </w:r>
      <w:hyperlink r:id="rId45" w:history="1">
        <w:r w:rsidR="178392D3" w:rsidRPr="006701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CDC,</w:t>
        </w:r>
      </w:hyperlink>
      <w:r w:rsidR="178392D3" w:rsidRPr="00670152">
        <w:rPr>
          <w:rFonts w:ascii="Times New Roman" w:eastAsia="Calibri" w:hAnsi="Times New Roman" w:cs="Times New Roman"/>
          <w:sz w:val="24"/>
          <w:szCs w:val="24"/>
        </w:rPr>
        <w:t xml:space="preserve"> January 2024)</w:t>
      </w:r>
    </w:p>
    <w:p w14:paraId="12BC4A8A" w14:textId="77777777" w:rsidR="00DA2E8A" w:rsidRPr="00670152" w:rsidRDefault="00DA2E8A" w:rsidP="00DA2E8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Dietary:</w:t>
      </w:r>
    </w:p>
    <w:p w14:paraId="5C843A9E" w14:textId="3888EF5C" w:rsidR="00DA2E8A" w:rsidRPr="00670152" w:rsidRDefault="00DA2E8A" w:rsidP="1ABB1459">
      <w:pPr>
        <w:pStyle w:val="ListParagraph"/>
        <w:numPr>
          <w:ilvl w:val="2"/>
          <w:numId w:val="21"/>
        </w:numPr>
        <w:rPr>
          <w:rStyle w:val="Hyperlink"/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Managed by using Standard Precautions, per facility policy. Dietary staff entering the airborne infection isolation room must use the appropriate respiratory</w:t>
      </w:r>
      <w:r w:rsidRPr="00670152" w:rsidDel="00E00708">
        <w:rPr>
          <w:rFonts w:ascii="Times New Roman" w:hAnsi="Times New Roman" w:cs="Times New Roman"/>
          <w:sz w:val="24"/>
          <w:szCs w:val="24"/>
        </w:rPr>
        <w:t xml:space="preserve"> protection such as the N95 respirator</w:t>
      </w:r>
    </w:p>
    <w:p w14:paraId="41766BE1" w14:textId="4BEB5790" w:rsidR="1CE61949" w:rsidRPr="00670152" w:rsidRDefault="1CE61949" w:rsidP="1ABB1459">
      <w:pPr>
        <w:pStyle w:val="ListParagraph"/>
        <w:numPr>
          <w:ilvl w:val="2"/>
          <w:numId w:val="21"/>
        </w:numPr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670152">
        <w:rPr>
          <w:rFonts w:ascii="Times New Roman" w:eastAsia="Calibri" w:hAnsi="Times New Roman" w:cs="Times New Roman"/>
          <w:sz w:val="24"/>
          <w:szCs w:val="24"/>
        </w:rPr>
        <w:t xml:space="preserve">Meal trays and dishes do not require special handling. Disposable dishes and utensils are not required. </w:t>
      </w:r>
      <w:r w:rsidRPr="00670152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>(</w:t>
      </w:r>
      <w:hyperlink r:id="rId46" w:history="1">
        <w:r w:rsidRPr="006701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Alberta Health Services</w:t>
        </w:r>
      </w:hyperlink>
      <w:r w:rsidRPr="00670152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>, May 2024).</w:t>
      </w:r>
    </w:p>
    <w:p w14:paraId="17A04E2B" w14:textId="475DDB85" w:rsidR="1CE61949" w:rsidRPr="00670152" w:rsidRDefault="1CE61949" w:rsidP="2E63B17B">
      <w:pPr>
        <w:pStyle w:val="ListParagraph"/>
        <w:numPr>
          <w:ilvl w:val="2"/>
          <w:numId w:val="21"/>
        </w:numPr>
        <w:spacing w:after="0" w:line="257" w:lineRule="auto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670152">
        <w:rPr>
          <w:rFonts w:ascii="Times New Roman" w:eastAsia="Calibri" w:hAnsi="Times New Roman" w:cs="Times New Roman"/>
          <w:sz w:val="24"/>
          <w:szCs w:val="24"/>
        </w:rPr>
        <w:t>Environmental surfaces may be contaminated with infectious respiratory secretions that can spread the virus for up to two hours (</w:t>
      </w:r>
      <w:hyperlink r:id="rId47" w:history="1">
        <w:r w:rsidRPr="006701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OSHA,</w:t>
        </w:r>
      </w:hyperlink>
      <w:r w:rsidRPr="00670152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n.d.)</w:t>
      </w:r>
    </w:p>
    <w:p w14:paraId="57C998DD" w14:textId="77777777" w:rsidR="00DA2E8A" w:rsidRPr="00670152" w:rsidRDefault="00DA2E8A" w:rsidP="00DA2E8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Oxygen: </w:t>
      </w:r>
    </w:p>
    <w:p w14:paraId="6BFA2B7A" w14:textId="66DDD250" w:rsidR="00DA2E8A" w:rsidRPr="00670152" w:rsidRDefault="00DA2E8A" w:rsidP="00DA2E8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Place a mask over the oxygen delivery device if the patient needs to leave the airborne infection isolation room.</w:t>
      </w:r>
    </w:p>
    <w:p w14:paraId="7762D550" w14:textId="1FEAEDF0" w:rsidR="00DA2E8A" w:rsidRPr="00670152" w:rsidRDefault="2465FBFD" w:rsidP="00DA2E8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Notify </w:t>
      </w:r>
      <w:r w:rsidR="00DA2E8A" w:rsidRPr="00670152">
        <w:rPr>
          <w:rFonts w:ascii="Times New Roman" w:hAnsi="Times New Roman" w:cs="Times New Roman"/>
          <w:sz w:val="24"/>
          <w:szCs w:val="24"/>
        </w:rPr>
        <w:t xml:space="preserve">the respiratory therapy department for </w:t>
      </w:r>
      <w:r w:rsidR="77BF804D" w:rsidRPr="00670152">
        <w:rPr>
          <w:rFonts w:ascii="Times New Roman" w:hAnsi="Times New Roman" w:cs="Times New Roman"/>
          <w:sz w:val="24"/>
          <w:szCs w:val="24"/>
        </w:rPr>
        <w:t xml:space="preserve">transport </w:t>
      </w:r>
      <w:r w:rsidR="00DA2E8A" w:rsidRPr="00670152">
        <w:rPr>
          <w:rFonts w:ascii="Times New Roman" w:hAnsi="Times New Roman" w:cs="Times New Roman"/>
          <w:sz w:val="24"/>
          <w:szCs w:val="24"/>
        </w:rPr>
        <w:t>assistance.</w:t>
      </w:r>
    </w:p>
    <w:p w14:paraId="259E50C8" w14:textId="77777777" w:rsidR="00DA2E8A" w:rsidRPr="00670152" w:rsidRDefault="00DA2E8A" w:rsidP="00DA2E8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Notify the receiving department well in advance of the transport.</w:t>
      </w:r>
    </w:p>
    <w:p w14:paraId="458DBFBB" w14:textId="77777777" w:rsidR="00DA2E8A" w:rsidRPr="00670152" w:rsidRDefault="00DA2E8A" w:rsidP="00DA2E8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Make the transport as fast as possible.</w:t>
      </w:r>
    </w:p>
    <w:p w14:paraId="39943CA7" w14:textId="3927756D" w:rsidR="3D7457E0" w:rsidRPr="00670152" w:rsidRDefault="3D7457E0" w:rsidP="1ABB1459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Clear the elevator of all individuals, prior to access</w:t>
      </w:r>
    </w:p>
    <w:p w14:paraId="6A012FD0" w14:textId="32FB23E9" w:rsidR="00DA2E8A" w:rsidRPr="00670152" w:rsidRDefault="00DA2E8A" w:rsidP="00DA2E8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Assure the transporters are wearing the appropriate PPE</w:t>
      </w:r>
      <w:r w:rsidR="0E4600E3" w:rsidRPr="00670152">
        <w:rPr>
          <w:rFonts w:ascii="Times New Roman" w:hAnsi="Times New Roman" w:cs="Times New Roman"/>
          <w:sz w:val="24"/>
          <w:szCs w:val="24"/>
        </w:rPr>
        <w:t>, depending upon if the patient’s airway cannot be covered, or if additional patient handling is required during the transport.</w:t>
      </w:r>
    </w:p>
    <w:p w14:paraId="4A943852" w14:textId="383435E5" w:rsidR="00DA2E8A" w:rsidRPr="00670152" w:rsidRDefault="00DA2E8A" w:rsidP="00DA2E8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Minimize patient contact with others e.g., patients, visitors, etc., during transport.</w:t>
      </w:r>
    </w:p>
    <w:p w14:paraId="33418200" w14:textId="77777777" w:rsidR="00DA2E8A" w:rsidRPr="00670152" w:rsidRDefault="00DA2E8A" w:rsidP="00DA2E8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If intubated, use a closed system circuit for transport.</w:t>
      </w:r>
    </w:p>
    <w:p w14:paraId="5ADA5630" w14:textId="4D77B110" w:rsidR="00BC6563" w:rsidRPr="00670152" w:rsidRDefault="00BC6563" w:rsidP="00BC6563">
      <w:pPr>
        <w:pStyle w:val="Heading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Visitation Management</w:t>
      </w:r>
    </w:p>
    <w:p w14:paraId="3B12C265" w14:textId="50A64331" w:rsidR="00DA2E8A" w:rsidRPr="00670152" w:rsidRDefault="00DA2E8A" w:rsidP="00DA2E8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If measles is in the community, consider screening visitors for signs and symptoms before entering the facilit</w:t>
      </w:r>
      <w:r w:rsidR="00E00708" w:rsidRPr="00670152">
        <w:rPr>
          <w:rFonts w:ascii="Times New Roman" w:hAnsi="Times New Roman" w:cs="Times New Roman"/>
          <w:sz w:val="24"/>
          <w:szCs w:val="24"/>
        </w:rPr>
        <w:t xml:space="preserve">y </w:t>
      </w:r>
      <w:hyperlink r:id="rId48" w:history="1">
        <w:r w:rsidR="00036340">
          <w:rPr>
            <w:rStyle w:val="Hyperlink"/>
            <w:rFonts w:ascii="Times New Roman" w:hAnsi="Times New Roman" w:cs="Times New Roman"/>
            <w:sz w:val="24"/>
            <w:szCs w:val="24"/>
          </w:rPr>
          <w:t>(CDC, April 2024)</w:t>
        </w:r>
      </w:hyperlink>
      <w:r w:rsidR="000363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86A04" w14:textId="252C5585" w:rsidR="00DA2E8A" w:rsidRPr="00670152" w:rsidRDefault="00DA2E8A" w:rsidP="00DA2E8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Visitors without acceptable presumptive immunity evidence should not enter the patient’s </w:t>
      </w:r>
      <w:proofErr w:type="gramStart"/>
      <w:r w:rsidRPr="00670152">
        <w:rPr>
          <w:rFonts w:ascii="Times New Roman" w:hAnsi="Times New Roman" w:cs="Times New Roman"/>
          <w:sz w:val="24"/>
          <w:szCs w:val="24"/>
        </w:rPr>
        <w:t>room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="7AD5519E" w:rsidRPr="00670152">
        <w:rPr>
          <w:rFonts w:ascii="Times New Roman" w:hAnsi="Times New Roman" w:cs="Times New Roman"/>
          <w:sz w:val="24"/>
          <w:szCs w:val="24"/>
        </w:rPr>
        <w:t xml:space="preserve"> April</w:t>
      </w:r>
      <w:proofErr w:type="gramEnd"/>
      <w:r w:rsidR="7AD5519E" w:rsidRPr="00670152">
        <w:rPr>
          <w:rFonts w:ascii="Times New Roman" w:hAnsi="Times New Roman" w:cs="Times New Roman"/>
          <w:sz w:val="24"/>
          <w:szCs w:val="24"/>
        </w:rPr>
        <w:t xml:space="preserve"> 2024).</w:t>
      </w:r>
    </w:p>
    <w:p w14:paraId="12C806AE" w14:textId="3C41A68C" w:rsidR="00DA2E8A" w:rsidRPr="00670152" w:rsidRDefault="00DA2E8A" w:rsidP="00DA2E8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Limit visitors to those that are necessary for the patient’s well</w:t>
      </w:r>
      <w:r w:rsidR="00E00708" w:rsidRPr="00670152">
        <w:rPr>
          <w:rFonts w:ascii="Times New Roman" w:hAnsi="Times New Roman" w:cs="Times New Roman"/>
          <w:sz w:val="24"/>
          <w:szCs w:val="24"/>
        </w:rPr>
        <w:t>-</w:t>
      </w:r>
      <w:r w:rsidRPr="00670152">
        <w:rPr>
          <w:rFonts w:ascii="Times New Roman" w:hAnsi="Times New Roman" w:cs="Times New Roman"/>
          <w:sz w:val="24"/>
          <w:szCs w:val="24"/>
        </w:rPr>
        <w:t>being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="00036340">
          <w:rPr>
            <w:rStyle w:val="Hyperlink"/>
            <w:rFonts w:ascii="Times New Roman" w:hAnsi="Times New Roman" w:cs="Times New Roman"/>
            <w:sz w:val="24"/>
            <w:szCs w:val="24"/>
          </w:rPr>
          <w:t>(CDC, April 2024)</w:t>
        </w:r>
      </w:hyperlink>
      <w:r w:rsidR="00036340">
        <w:rPr>
          <w:rFonts w:ascii="Times New Roman" w:hAnsi="Times New Roman" w:cs="Times New Roman"/>
          <w:sz w:val="24"/>
          <w:szCs w:val="24"/>
        </w:rPr>
        <w:t>.</w:t>
      </w:r>
    </w:p>
    <w:p w14:paraId="59A0E694" w14:textId="46FC365D" w:rsidR="007C7BA2" w:rsidRPr="00670152" w:rsidRDefault="00DA2E8A" w:rsidP="00DA2E8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Consider offering visitors the same type of respiratory protection that is being worn by healthcare workers. Note that </w:t>
      </w:r>
      <w:r w:rsidR="008B11E3" w:rsidRPr="00670152">
        <w:rPr>
          <w:rFonts w:ascii="Times New Roman" w:hAnsi="Times New Roman" w:cs="Times New Roman"/>
          <w:sz w:val="24"/>
          <w:szCs w:val="24"/>
        </w:rPr>
        <w:t>fit testing</w:t>
      </w:r>
      <w:r w:rsidRPr="00670152">
        <w:rPr>
          <w:rFonts w:ascii="Times New Roman" w:hAnsi="Times New Roman" w:cs="Times New Roman"/>
          <w:sz w:val="24"/>
          <w:szCs w:val="24"/>
        </w:rPr>
        <w:t xml:space="preserve">, per OSHA, is required for healthcare personnel/employees only. </w:t>
      </w:r>
      <w:hyperlink r:id="rId50" w:history="1">
        <w:r w:rsidR="00E47F09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(OSHA, February 5, 2004)</w:t>
        </w:r>
      </w:hyperlink>
      <w:r w:rsidRPr="00670152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="00E47F09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(OSHA, September 2019).</w:t>
        </w:r>
      </w:hyperlink>
    </w:p>
    <w:p w14:paraId="606C987C" w14:textId="5805F384" w:rsidR="00043623" w:rsidRPr="00670152" w:rsidRDefault="00043623" w:rsidP="00043623">
      <w:pPr>
        <w:pStyle w:val="Heading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Infection Prevention Staffing Considerations</w:t>
      </w:r>
    </w:p>
    <w:p w14:paraId="0CBA99A7" w14:textId="208FD3D1" w:rsidR="009136AF" w:rsidRPr="00670152" w:rsidRDefault="003A256A" w:rsidP="00043623">
      <w:pPr>
        <w:pStyle w:val="ListParagraph"/>
        <w:numPr>
          <w:ilvl w:val="0"/>
          <w:numId w:val="25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Assure infection prevention resources/consultations are readily available.</w:t>
      </w:r>
    </w:p>
    <w:p w14:paraId="644FEBD9" w14:textId="0A436A0B" w:rsidR="00043623" w:rsidRPr="00670152" w:rsidRDefault="00043623" w:rsidP="00043623">
      <w:pPr>
        <w:pStyle w:val="Heading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lastRenderedPageBreak/>
        <w:t>Post-Mortem</w:t>
      </w:r>
    </w:p>
    <w:p w14:paraId="5E60A94F" w14:textId="605242B8" w:rsidR="00702127" w:rsidRPr="00670152" w:rsidRDefault="00DA2E8A" w:rsidP="00043623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color w:val="000000" w:themeColor="text1"/>
          <w:sz w:val="24"/>
          <w:szCs w:val="24"/>
        </w:rPr>
        <w:t>No measles-specific guidance is available.</w:t>
      </w:r>
    </w:p>
    <w:p w14:paraId="7DF0D567" w14:textId="3C85236B" w:rsidR="00DA2E8A" w:rsidRPr="00670152" w:rsidRDefault="1FEFA765" w:rsidP="1ABB1459">
      <w:pPr>
        <w:pStyle w:val="ListParagraph"/>
        <w:numPr>
          <w:ilvl w:val="0"/>
          <w:numId w:val="26"/>
        </w:numPr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670152">
        <w:rPr>
          <w:rFonts w:ascii="Times New Roman" w:eastAsia="Calibri" w:hAnsi="Times New Roman" w:cs="Times New Roman"/>
          <w:sz w:val="24"/>
          <w:szCs w:val="24"/>
        </w:rPr>
        <w:t>Body bags should be used on all deceased infectious patients especially if there is a possibility of leakage of body fluids. (</w:t>
      </w:r>
      <w:hyperlink r:id="rId52" w:history="1">
        <w:r w:rsidRPr="006701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Northwest Territories</w:t>
        </w:r>
      </w:hyperlink>
      <w:r w:rsidRPr="00670152">
        <w:rPr>
          <w:rFonts w:ascii="Times New Roman" w:eastAsia="Calibri" w:hAnsi="Times New Roman" w:cs="Times New Roman"/>
          <w:sz w:val="24"/>
          <w:szCs w:val="24"/>
        </w:rPr>
        <w:t>, September 2008)</w:t>
      </w:r>
      <w:r w:rsidRPr="00670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DA45EF" w14:textId="6E9A782E" w:rsidR="00DA2E8A" w:rsidRPr="00670152" w:rsidRDefault="00DA2E8A" w:rsidP="00DA2E8A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152">
        <w:rPr>
          <w:rFonts w:ascii="Times New Roman" w:hAnsi="Times New Roman" w:cs="Times New Roman"/>
          <w:color w:val="000000" w:themeColor="text1"/>
          <w:sz w:val="24"/>
          <w:szCs w:val="24"/>
        </w:rPr>
        <w:t>PPE use and post-mortem care per facility policy.</w:t>
      </w:r>
    </w:p>
    <w:p w14:paraId="5F86F930" w14:textId="45963F10" w:rsidR="00DA2E8A" w:rsidRPr="00670152" w:rsidRDefault="03B1AD33" w:rsidP="00DA2E8A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152">
        <w:rPr>
          <w:rFonts w:ascii="Times New Roman" w:hAnsi="Times New Roman" w:cs="Times New Roman"/>
          <w:color w:val="000000" w:themeColor="text1"/>
          <w:sz w:val="24"/>
          <w:szCs w:val="24"/>
        </w:rPr>
        <w:t>Minimize handling</w:t>
      </w:r>
    </w:p>
    <w:p w14:paraId="14B99D78" w14:textId="561F7EED" w:rsidR="00DA2E8A" w:rsidRPr="00670152" w:rsidRDefault="00DA2E8A" w:rsidP="00DA2E8A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152">
        <w:rPr>
          <w:rFonts w:ascii="Times New Roman" w:hAnsi="Times New Roman" w:cs="Times New Roman"/>
          <w:color w:val="000000" w:themeColor="text1"/>
          <w:sz w:val="24"/>
          <w:szCs w:val="24"/>
        </w:rPr>
        <w:t>Environmental cleaning and disinfection with an effective EPA</w:t>
      </w:r>
      <w:r w:rsidR="00E47F09" w:rsidRPr="006701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70152">
        <w:rPr>
          <w:rFonts w:ascii="Times New Roman" w:hAnsi="Times New Roman" w:cs="Times New Roman"/>
          <w:color w:val="000000" w:themeColor="text1"/>
          <w:sz w:val="24"/>
          <w:szCs w:val="24"/>
        </w:rPr>
        <w:t>registered disinfectant.</w:t>
      </w:r>
    </w:p>
    <w:p w14:paraId="4ED67884" w14:textId="3B0FE09C" w:rsidR="00DA2E8A" w:rsidRPr="00670152" w:rsidRDefault="00DA2E8A" w:rsidP="00DA2E8A">
      <w:pPr>
        <w:pStyle w:val="ListParagraph"/>
        <w:numPr>
          <w:ilvl w:val="0"/>
          <w:numId w:val="26"/>
        </w:numPr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152">
        <w:rPr>
          <w:rFonts w:ascii="Times New Roman" w:hAnsi="Times New Roman" w:cs="Times New Roman"/>
          <w:color w:val="000000" w:themeColor="text1"/>
          <w:sz w:val="24"/>
          <w:szCs w:val="24"/>
        </w:rPr>
        <w:t>OSHA’s “Postmortem Care Workers and Employers” COVID-19 guidance with postmortem care tasks associated with exposure risk levels e.g., need for respiratory protection, risk assessment, etc., may be applied to measles (</w:t>
      </w:r>
      <w:hyperlink r:id="rId53" w:history="1">
        <w:r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OSHA, No Date</w:t>
        </w:r>
      </w:hyperlink>
      <w:r w:rsidRPr="0067015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D46C8AA" w14:textId="3D37DB00" w:rsidR="00C2456A" w:rsidRPr="00036340" w:rsidRDefault="00C2456A" w:rsidP="00043623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340">
        <w:rPr>
          <w:rFonts w:ascii="Times New Roman" w:hAnsi="Times New Roman" w:cs="Times New Roman"/>
          <w:color w:val="000000" w:themeColor="text1"/>
          <w:sz w:val="24"/>
          <w:szCs w:val="24"/>
        </w:rPr>
        <w:t>Patient Discharge</w:t>
      </w:r>
      <w:r w:rsidR="00D813FC" w:rsidRPr="000363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9C6FB1" w14:textId="629A400D" w:rsidR="00043623" w:rsidRPr="00670152" w:rsidRDefault="00043623" w:rsidP="00043623">
      <w:pPr>
        <w:pStyle w:val="Heading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Communication Considerations</w:t>
      </w:r>
    </w:p>
    <w:p w14:paraId="6D6A832F" w14:textId="77777777" w:rsidR="00467B46" w:rsidRPr="00670152" w:rsidRDefault="00467B46" w:rsidP="00467B46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Coordination with local health department considerations:</w:t>
      </w:r>
    </w:p>
    <w:p w14:paraId="2A378BA6" w14:textId="77777777" w:rsidR="00467B46" w:rsidRPr="00670152" w:rsidRDefault="00467B46" w:rsidP="00467B46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Ensure the public health department has been notified of a suspected or confirmed measles case.</w:t>
      </w:r>
    </w:p>
    <w:p w14:paraId="2FF53699" w14:textId="30D9A868" w:rsidR="00467B46" w:rsidRPr="00670152" w:rsidRDefault="00467B46" w:rsidP="00467B46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Notify public health authorities about patients who have been measles exposed and are being, or may have been</w:t>
      </w:r>
      <w:r w:rsidR="003C25EB" w:rsidRPr="00670152">
        <w:rPr>
          <w:rFonts w:ascii="Times New Roman" w:hAnsi="Times New Roman" w:cs="Times New Roman"/>
          <w:sz w:val="24"/>
          <w:szCs w:val="24"/>
        </w:rPr>
        <w:t>,</w:t>
      </w:r>
      <w:r w:rsidRPr="00670152">
        <w:rPr>
          <w:rFonts w:ascii="Times New Roman" w:hAnsi="Times New Roman" w:cs="Times New Roman"/>
          <w:sz w:val="24"/>
          <w:szCs w:val="24"/>
        </w:rPr>
        <w:t xml:space="preserve"> discharged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="7B5F89F9" w:rsidRPr="00670152">
        <w:rPr>
          <w:rFonts w:ascii="Times New Roman" w:hAnsi="Times New Roman" w:cs="Times New Roman"/>
          <w:sz w:val="24"/>
          <w:szCs w:val="24"/>
        </w:rPr>
        <w:t>April 2024)</w:t>
      </w:r>
    </w:p>
    <w:p w14:paraId="6D3C5682" w14:textId="77777777" w:rsidR="00467B46" w:rsidRPr="00670152" w:rsidRDefault="00467B46" w:rsidP="00467B46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Hand-off communication to receiving facilities:</w:t>
      </w:r>
    </w:p>
    <w:p w14:paraId="3ECFABA4" w14:textId="77777777" w:rsidR="00467B46" w:rsidRPr="00670152" w:rsidRDefault="00467B46" w:rsidP="00467B46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Ensure nursing notifies the receiving facility, through both a verbal and written report, of the possible or confirmed diagnosis and the type of precautions being taken.</w:t>
      </w:r>
    </w:p>
    <w:p w14:paraId="3FF89A81" w14:textId="093822FC" w:rsidR="00467B46" w:rsidRPr="00670152" w:rsidRDefault="00467B46" w:rsidP="00467B46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Notify the transporting team e.g., ambulance, during discharge planning.</w:t>
      </w:r>
    </w:p>
    <w:p w14:paraId="14E4C2F6" w14:textId="3F4C1E3B" w:rsidR="00D13CC2" w:rsidRPr="00670152" w:rsidRDefault="00467B46" w:rsidP="00467B46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Consider personally contacting the infection preventionist at the receiving facility.</w:t>
      </w:r>
    </w:p>
    <w:p w14:paraId="52982058" w14:textId="12191CF5" w:rsidR="00043623" w:rsidRPr="00670152" w:rsidRDefault="00043623" w:rsidP="00043623">
      <w:pPr>
        <w:pStyle w:val="Heading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Patient Discharge Information</w:t>
      </w:r>
    </w:p>
    <w:p w14:paraId="3D55B7BC" w14:textId="409DC11A" w:rsidR="00467B46" w:rsidRPr="00670152" w:rsidRDefault="7B44CC1C" w:rsidP="1ABB1459">
      <w:pPr>
        <w:pStyle w:val="ListParagraph"/>
        <w:numPr>
          <w:ilvl w:val="1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670152">
        <w:rPr>
          <w:rFonts w:ascii="Times New Roman" w:eastAsia="Calibri" w:hAnsi="Times New Roman" w:cs="Times New Roman"/>
          <w:sz w:val="24"/>
          <w:szCs w:val="24"/>
        </w:rPr>
        <w:t>Notify the local health department of the pending discharge.</w:t>
      </w:r>
      <w:r w:rsidRPr="00670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67230" w14:textId="07075BC1" w:rsidR="00467B46" w:rsidRPr="00670152" w:rsidRDefault="00467B46" w:rsidP="00467B46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Patient</w:t>
      </w:r>
      <w:r w:rsidR="00E47F09" w:rsidRPr="00670152">
        <w:rPr>
          <w:rFonts w:ascii="Times New Roman" w:hAnsi="Times New Roman" w:cs="Times New Roman"/>
          <w:sz w:val="24"/>
          <w:szCs w:val="24"/>
        </w:rPr>
        <w:t>-</w:t>
      </w:r>
      <w:r w:rsidRPr="00670152">
        <w:rPr>
          <w:rFonts w:ascii="Times New Roman" w:hAnsi="Times New Roman" w:cs="Times New Roman"/>
          <w:sz w:val="24"/>
          <w:szCs w:val="24"/>
        </w:rPr>
        <w:t xml:space="preserve">focused instructions to prevent transmission </w:t>
      </w:r>
      <w:hyperlink r:id="rId54">
        <w:r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(Arizona Department of Health Services</w:t>
        </w:r>
        <w:r w:rsidR="009B52F4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,</w:t>
        </w:r>
        <w:r w:rsidRPr="00670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May 2016)</w:t>
        </w:r>
      </w:hyperlink>
      <w:r w:rsidRPr="00670152">
        <w:rPr>
          <w:rFonts w:ascii="Times New Roman" w:hAnsi="Times New Roman" w:cs="Times New Roman"/>
          <w:sz w:val="24"/>
          <w:szCs w:val="24"/>
        </w:rPr>
        <w:t xml:space="preserve">, </w:t>
      </w:r>
      <w:hyperlink r:id="rId55">
        <w:r w:rsidR="00E47F09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(Los Angeles County Department of Public Health, February 1, 2024)</w:t>
        </w:r>
      </w:hyperlink>
    </w:p>
    <w:p w14:paraId="55F77F8A" w14:textId="77777777" w:rsidR="00467B46" w:rsidRPr="00670152" w:rsidRDefault="00467B46" w:rsidP="00467B46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If the patient remains communicable at the time of discharge, instruct the patient to wear a surgical mask until arriving home.</w:t>
      </w:r>
    </w:p>
    <w:p w14:paraId="12E4C4C0" w14:textId="77777777" w:rsidR="00467B46" w:rsidRPr="00670152" w:rsidRDefault="00467B46" w:rsidP="00467B46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Stay home and avoid school, work, social activities, large public gatherings, etc., until additional instructions are received from the health department.</w:t>
      </w:r>
    </w:p>
    <w:p w14:paraId="6D5CB7A3" w14:textId="38A33A81" w:rsidR="00467B46" w:rsidRPr="00670152" w:rsidRDefault="00467B46" w:rsidP="00467B46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Avoid pregnant </w:t>
      </w:r>
      <w:r w:rsidR="30E3B9A2" w:rsidRPr="00670152">
        <w:rPr>
          <w:rFonts w:ascii="Times New Roman" w:hAnsi="Times New Roman" w:cs="Times New Roman"/>
          <w:sz w:val="24"/>
          <w:szCs w:val="24"/>
        </w:rPr>
        <w:t>people</w:t>
      </w:r>
      <w:r w:rsidRPr="00670152">
        <w:rPr>
          <w:rFonts w:ascii="Times New Roman" w:hAnsi="Times New Roman" w:cs="Times New Roman"/>
          <w:sz w:val="24"/>
          <w:szCs w:val="24"/>
        </w:rPr>
        <w:t>, people with weakened immune systems, and infants less than 1 year old.</w:t>
      </w:r>
    </w:p>
    <w:p w14:paraId="18FDE9C5" w14:textId="77777777" w:rsidR="00467B46" w:rsidRPr="00670152" w:rsidRDefault="00467B46" w:rsidP="00467B46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Prior to discharge, ensure household members are fully immunized against measles.</w:t>
      </w:r>
    </w:p>
    <w:p w14:paraId="5FFDE04A" w14:textId="77777777" w:rsidR="00467B46" w:rsidRPr="00670152" w:rsidRDefault="00467B46" w:rsidP="00467B46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Only have contact with people who are fully immunized against measles.</w:t>
      </w:r>
    </w:p>
    <w:p w14:paraId="299259CA" w14:textId="0ED8244A" w:rsidR="00467B46" w:rsidRPr="00670152" w:rsidRDefault="14680CDB" w:rsidP="00467B46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Additional p</w:t>
      </w:r>
      <w:r w:rsidR="00467B46" w:rsidRPr="00670152">
        <w:rPr>
          <w:rFonts w:ascii="Times New Roman" w:hAnsi="Times New Roman" w:cs="Times New Roman"/>
          <w:sz w:val="24"/>
          <w:szCs w:val="24"/>
        </w:rPr>
        <w:t>atient</w:t>
      </w:r>
      <w:r w:rsidR="00E47F09" w:rsidRPr="00670152">
        <w:rPr>
          <w:rFonts w:ascii="Times New Roman" w:hAnsi="Times New Roman" w:cs="Times New Roman"/>
          <w:sz w:val="24"/>
          <w:szCs w:val="24"/>
        </w:rPr>
        <w:t>-</w:t>
      </w:r>
      <w:r w:rsidR="00467B46" w:rsidRPr="00670152">
        <w:rPr>
          <w:rFonts w:ascii="Times New Roman" w:hAnsi="Times New Roman" w:cs="Times New Roman"/>
          <w:sz w:val="24"/>
          <w:szCs w:val="24"/>
        </w:rPr>
        <w:t xml:space="preserve">focused instructions </w:t>
      </w:r>
    </w:p>
    <w:p w14:paraId="04B404BA" w14:textId="6E8B6B3A" w:rsidR="00F24AFC" w:rsidRPr="00670152" w:rsidRDefault="00467B46" w:rsidP="00467B46">
      <w:pPr>
        <w:pStyle w:val="ListParagraph"/>
        <w:numPr>
          <w:ilvl w:val="2"/>
          <w:numId w:val="2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70152">
        <w:rPr>
          <w:rFonts w:ascii="Times New Roman" w:hAnsi="Times New Roman" w:cs="Times New Roman"/>
          <w:sz w:val="24"/>
          <w:szCs w:val="24"/>
        </w:rPr>
        <w:t>Per facility discharge instructions.</w:t>
      </w:r>
    </w:p>
    <w:p w14:paraId="7924E989" w14:textId="705D052D" w:rsidR="00621A7B" w:rsidRPr="00036340" w:rsidRDefault="00043623" w:rsidP="00036340">
      <w:pPr>
        <w:pStyle w:val="Heading1"/>
        <w:shd w:val="clear" w:color="auto" w:fill="00B0F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36340">
        <w:rPr>
          <w:rFonts w:ascii="Times New Roman" w:hAnsi="Times New Roman" w:cs="Times New Roman"/>
          <w:color w:val="FFFFFF" w:themeColor="background1"/>
          <w:sz w:val="24"/>
          <w:szCs w:val="24"/>
        </w:rPr>
        <w:t>Occupational Health</w:t>
      </w:r>
    </w:p>
    <w:p w14:paraId="4ADCAEAE" w14:textId="566D094B" w:rsidR="0039771D" w:rsidRPr="00670152" w:rsidRDefault="00043623" w:rsidP="2E63B17B">
      <w:pPr>
        <w:pStyle w:val="Heading2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Occupational Exposure Definition</w:t>
      </w:r>
      <w:r w:rsidR="3B9486D1" w:rsidRPr="00670152">
        <w:rPr>
          <w:rFonts w:ascii="Times New Roman" w:hAnsi="Times New Roman" w:cs="Times New Roman"/>
          <w:sz w:val="24"/>
          <w:szCs w:val="24"/>
        </w:rPr>
        <w:t xml:space="preserve"> (</w:t>
      </w:r>
      <w:hyperlink r:id="rId56" w:history="1">
        <w:r w:rsidR="3B9486D1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CDC, April 12, 2024</w:t>
        </w:r>
      </w:hyperlink>
      <w:r w:rsidR="06C8B6FF" w:rsidRPr="00670152">
        <w:rPr>
          <w:rFonts w:ascii="Times New Roman" w:hAnsi="Times New Roman" w:cs="Times New Roman"/>
          <w:sz w:val="24"/>
          <w:szCs w:val="24"/>
        </w:rPr>
        <w:t>)</w:t>
      </w:r>
      <w:r w:rsidR="37A5E44A" w:rsidRPr="00670152">
        <w:rPr>
          <w:rFonts w:ascii="Times New Roman" w:hAnsi="Times New Roman" w:cs="Times New Roman"/>
          <w:sz w:val="24"/>
          <w:szCs w:val="24"/>
        </w:rPr>
        <w:t>:</w:t>
      </w:r>
    </w:p>
    <w:p w14:paraId="5783F73B" w14:textId="2B931E36" w:rsidR="0039771D" w:rsidRPr="00670152" w:rsidRDefault="06C8B6FF" w:rsidP="2E63B17B">
      <w:pPr>
        <w:pStyle w:val="Heading2"/>
        <w:numPr>
          <w:ilvl w:val="1"/>
          <w:numId w:val="29"/>
        </w:numPr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Pr="00670152">
        <w:rPr>
          <w:rFonts w:ascii="Times New Roman" w:eastAsiaTheme="minorEastAsia" w:hAnsi="Times New Roman" w:cs="Times New Roman"/>
          <w:color w:val="auto"/>
          <w:sz w:val="24"/>
          <w:szCs w:val="24"/>
        </w:rPr>
        <w:t>HCP exposures to measles in a healthcare setting include spending any time while unprotected (i.e., not wearing recommended respiratory protection):</w:t>
      </w:r>
    </w:p>
    <w:p w14:paraId="68DD2D4B" w14:textId="3E6B4EDA" w:rsidR="0039771D" w:rsidRPr="00670152" w:rsidRDefault="06C8B6FF" w:rsidP="2E63B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In a shared air space with an infectious measles patient at the same time, or</w:t>
      </w:r>
    </w:p>
    <w:p w14:paraId="75CE7C60" w14:textId="77777777" w:rsidR="008432BE" w:rsidRDefault="06C8B6FF" w:rsidP="005451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In a shared air space vacated by an infectious measles patient within the prior 2 hours </w:t>
      </w:r>
      <w:r w:rsidR="00843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C5940" w14:textId="36FCAD18" w:rsidR="0039771D" w:rsidRPr="005451E0" w:rsidRDefault="06C8B6FF" w:rsidP="008432BE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451E0">
        <w:rPr>
          <w:rFonts w:ascii="Times New Roman" w:hAnsi="Times New Roman" w:cs="Times New Roman"/>
          <w:sz w:val="24"/>
          <w:szCs w:val="24"/>
        </w:rPr>
        <w:t xml:space="preserve">For spaces with a defined rate of air changes per hour (ACH), see the following for additional considerations about estimating the time for 99.9% removal efficiency of </w:t>
      </w:r>
      <w:r w:rsidRPr="005451E0">
        <w:rPr>
          <w:rFonts w:ascii="Times New Roman" w:hAnsi="Times New Roman" w:cs="Times New Roman"/>
          <w:sz w:val="24"/>
          <w:szCs w:val="24"/>
        </w:rPr>
        <w:lastRenderedPageBreak/>
        <w:t xml:space="preserve">airborne contaminants: Table B1 “Air changes/hour (ACH) and time required for airborne-contaminant removal by efficiency” from the </w:t>
      </w:r>
      <w:hyperlink r:id="rId57" w:history="1">
        <w:r w:rsidRPr="005451E0">
          <w:rPr>
            <w:rStyle w:val="Hyperlink"/>
            <w:rFonts w:ascii="Times New Roman" w:hAnsi="Times New Roman" w:cs="Times New Roman"/>
            <w:sz w:val="24"/>
            <w:szCs w:val="24"/>
          </w:rPr>
          <w:t>2003 Guidelines for Environmental Infection Control in Health-Care Facilities (CDC, January 11, 2024).</w:t>
        </w:r>
      </w:hyperlink>
      <w:r w:rsidR="540FBF13" w:rsidRPr="005451E0">
        <w:rPr>
          <w:rFonts w:ascii="Times New Roman" w:hAnsi="Times New Roman" w:cs="Times New Roman"/>
          <w:sz w:val="24"/>
          <w:szCs w:val="24"/>
        </w:rPr>
        <w:t>)</w:t>
      </w:r>
    </w:p>
    <w:p w14:paraId="69658906" w14:textId="25F8AC43" w:rsidR="4940BD7C" w:rsidRPr="00670152" w:rsidRDefault="4940BD7C" w:rsidP="2E63B17B">
      <w:pPr>
        <w:pStyle w:val="ListParagraph"/>
        <w:spacing w:after="0" w:line="257" w:lineRule="auto"/>
        <w:ind w:left="1080"/>
        <w:rPr>
          <w:rStyle w:val="Hyperlink"/>
          <w:rFonts w:ascii="Times New Roman" w:eastAsia="Calibri" w:hAnsi="Times New Roman" w:cs="Times New Roman"/>
          <w:sz w:val="24"/>
          <w:szCs w:val="24"/>
        </w:rPr>
      </w:pPr>
    </w:p>
    <w:p w14:paraId="5A3D12A9" w14:textId="43E1A206" w:rsidR="002C11FA" w:rsidRPr="00670152" w:rsidRDefault="002C11FA" w:rsidP="002C11FA">
      <w:pPr>
        <w:pStyle w:val="Heading2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Pre and Post Exposure Information</w:t>
      </w:r>
    </w:p>
    <w:p w14:paraId="787FE316" w14:textId="0C5BD20D" w:rsidR="00486A61" w:rsidRPr="00486A61" w:rsidRDefault="4D16BA2F" w:rsidP="1ABB1459">
      <w:pPr>
        <w:pStyle w:val="ListParagraph"/>
        <w:numPr>
          <w:ilvl w:val="1"/>
          <w:numId w:val="29"/>
        </w:numPr>
        <w:rPr>
          <w:rFonts w:ascii="Times New Roman" w:eastAsia="Calibri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Presumptive </w:t>
      </w:r>
      <w:r w:rsidR="64F97731" w:rsidRPr="00670152">
        <w:rPr>
          <w:rFonts w:ascii="Times New Roman" w:hAnsi="Times New Roman" w:cs="Times New Roman"/>
          <w:sz w:val="24"/>
          <w:szCs w:val="24"/>
        </w:rPr>
        <w:t>e</w:t>
      </w:r>
      <w:r w:rsidR="00467B46" w:rsidRPr="00670152">
        <w:rPr>
          <w:rFonts w:ascii="Times New Roman" w:hAnsi="Times New Roman" w:cs="Times New Roman"/>
          <w:sz w:val="24"/>
          <w:szCs w:val="24"/>
        </w:rPr>
        <w:t>vidence of measles immunity</w:t>
      </w:r>
      <w:r w:rsidR="00486A61">
        <w:rPr>
          <w:rFonts w:ascii="Times New Roman" w:hAnsi="Times New Roman" w:cs="Times New Roman"/>
          <w:sz w:val="24"/>
          <w:szCs w:val="24"/>
        </w:rPr>
        <w:t xml:space="preserve">: </w:t>
      </w:r>
      <w:hyperlink r:id="rId58" w:history="1">
        <w:r w:rsidR="00486A61" w:rsidRPr="00486A6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(CDC, September 2024) </w:t>
        </w:r>
      </w:hyperlink>
    </w:p>
    <w:p w14:paraId="511B4343" w14:textId="5D3C2A66" w:rsidR="00467B46" w:rsidRPr="00670152" w:rsidRDefault="004F126B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Two</w:t>
      </w:r>
      <w:r w:rsidR="00467B46" w:rsidRPr="00670152">
        <w:rPr>
          <w:rFonts w:ascii="Times New Roman" w:hAnsi="Times New Roman" w:cs="Times New Roman"/>
          <w:sz w:val="24"/>
          <w:szCs w:val="24"/>
        </w:rPr>
        <w:t xml:space="preserve"> documented doses of measles/MMR vaccine, or </w:t>
      </w:r>
    </w:p>
    <w:p w14:paraId="1DF0497E" w14:textId="77777777" w:rsidR="00467B46" w:rsidRPr="00670152" w:rsidRDefault="00467B46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Serological evidence of immunity, or</w:t>
      </w:r>
    </w:p>
    <w:p w14:paraId="26402CAF" w14:textId="77777777" w:rsidR="00467B46" w:rsidRPr="00670152" w:rsidRDefault="00467B46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Laboratory confirmation of disease</w:t>
      </w:r>
    </w:p>
    <w:p w14:paraId="5EC34586" w14:textId="6310B682" w:rsidR="00467B46" w:rsidRPr="00670152" w:rsidRDefault="00467B46" w:rsidP="1ABB1459">
      <w:pPr>
        <w:pStyle w:val="ListParagraph"/>
        <w:numPr>
          <w:ilvl w:val="2"/>
          <w:numId w:val="29"/>
        </w:numPr>
        <w:rPr>
          <w:rFonts w:ascii="Times New Roman" w:eastAsia="Calibri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History of disease is no longer considered adequate presumptive evidence of measles.</w:t>
      </w:r>
      <w:r w:rsidR="3D6DA166" w:rsidRPr="00670152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anchor="NaN" w:history="1">
        <w:r w:rsidR="005419C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(Minnesota Department of Health, August 2023)</w:t>
        </w:r>
      </w:hyperlink>
      <w:r w:rsidR="005419C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54D0F" w14:textId="7DD20B22" w:rsidR="00467B46" w:rsidRPr="00670152" w:rsidRDefault="00467B46" w:rsidP="2E63B17B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If HC</w:t>
      </w:r>
      <w:r w:rsidR="00456C00" w:rsidRPr="00670152">
        <w:rPr>
          <w:rFonts w:ascii="Times New Roman" w:hAnsi="Times New Roman" w:cs="Times New Roman"/>
          <w:sz w:val="24"/>
          <w:szCs w:val="24"/>
        </w:rPr>
        <w:t>P</w:t>
      </w:r>
      <w:r w:rsidR="00E47F09" w:rsidRPr="00670152">
        <w:rPr>
          <w:rFonts w:ascii="Times New Roman" w:hAnsi="Times New Roman" w:cs="Times New Roman"/>
          <w:sz w:val="24"/>
          <w:szCs w:val="24"/>
        </w:rPr>
        <w:t>s</w:t>
      </w:r>
      <w:r w:rsidRPr="00670152">
        <w:rPr>
          <w:rFonts w:ascii="Times New Roman" w:hAnsi="Times New Roman" w:cs="Times New Roman"/>
          <w:sz w:val="24"/>
          <w:szCs w:val="24"/>
        </w:rPr>
        <w:t xml:space="preserve"> ha</w:t>
      </w:r>
      <w:r w:rsidR="00057F7F" w:rsidRPr="00670152">
        <w:rPr>
          <w:rFonts w:ascii="Times New Roman" w:hAnsi="Times New Roman" w:cs="Times New Roman"/>
          <w:sz w:val="24"/>
          <w:szCs w:val="24"/>
        </w:rPr>
        <w:t>ve</w:t>
      </w:r>
      <w:r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="005419C2">
        <w:rPr>
          <w:rFonts w:ascii="Times New Roman" w:hAnsi="Times New Roman" w:cs="Times New Roman"/>
          <w:sz w:val="24"/>
          <w:szCs w:val="24"/>
        </w:rPr>
        <w:t>one</w:t>
      </w:r>
      <w:r w:rsidRPr="00670152">
        <w:rPr>
          <w:rFonts w:ascii="Times New Roman" w:hAnsi="Times New Roman" w:cs="Times New Roman"/>
          <w:sz w:val="24"/>
          <w:szCs w:val="24"/>
        </w:rPr>
        <w:t xml:space="preserve"> documented MMR dose, they should receive the 2nd dose at least 28 days after the </w:t>
      </w:r>
      <w:r w:rsidR="64A9C06C" w:rsidRPr="00670152">
        <w:rPr>
          <w:rFonts w:ascii="Times New Roman" w:hAnsi="Times New Roman" w:cs="Times New Roman"/>
          <w:sz w:val="24"/>
          <w:szCs w:val="24"/>
        </w:rPr>
        <w:t>first</w:t>
      </w:r>
      <w:r w:rsidRPr="00670152">
        <w:rPr>
          <w:rFonts w:ascii="Times New Roman" w:hAnsi="Times New Roman" w:cs="Times New Roman"/>
          <w:sz w:val="24"/>
          <w:szCs w:val="24"/>
        </w:rPr>
        <w:t>.</w:t>
      </w:r>
    </w:p>
    <w:p w14:paraId="2EB94218" w14:textId="3DAAF8D8" w:rsidR="38C809A3" w:rsidRPr="00670152" w:rsidRDefault="38C809A3" w:rsidP="2E63B17B">
      <w:pPr>
        <w:pStyle w:val="ListParagraph"/>
        <w:numPr>
          <w:ilvl w:val="1"/>
          <w:numId w:val="29"/>
        </w:numPr>
        <w:spacing w:after="0" w:line="257" w:lineRule="auto"/>
        <w:rPr>
          <w:rFonts w:ascii="Times New Roman" w:eastAsia="Calibri" w:hAnsi="Times New Roman" w:cs="Times New Roman"/>
          <w:sz w:val="24"/>
          <w:szCs w:val="24"/>
        </w:rPr>
      </w:pPr>
      <w:r w:rsidRPr="00670152">
        <w:rPr>
          <w:rFonts w:ascii="Times New Roman" w:eastAsia="Calibri" w:hAnsi="Times New Roman" w:cs="Times New Roman"/>
          <w:sz w:val="24"/>
          <w:szCs w:val="24"/>
        </w:rPr>
        <w:t xml:space="preserve">Although birth before 1957 is considered acceptable evidence of measles immunity, 2 doses of MMR vaccine </w:t>
      </w:r>
      <w:r w:rsidR="51C01649" w:rsidRPr="00670152">
        <w:rPr>
          <w:rFonts w:ascii="Times New Roman" w:eastAsia="Calibri" w:hAnsi="Times New Roman" w:cs="Times New Roman"/>
          <w:sz w:val="24"/>
          <w:szCs w:val="24"/>
        </w:rPr>
        <w:t>should be</w:t>
      </w:r>
      <w:r w:rsidRPr="00670152">
        <w:rPr>
          <w:rFonts w:ascii="Times New Roman" w:eastAsia="Calibri" w:hAnsi="Times New Roman" w:cs="Times New Roman"/>
          <w:sz w:val="24"/>
          <w:szCs w:val="24"/>
        </w:rPr>
        <w:t xml:space="preserve"> considered for unvaccinated HCP</w:t>
      </w:r>
      <w:r w:rsidR="2CF4C22E" w:rsidRPr="00670152">
        <w:rPr>
          <w:rFonts w:ascii="Times New Roman" w:eastAsia="Calibri" w:hAnsi="Times New Roman" w:cs="Times New Roman"/>
          <w:sz w:val="24"/>
          <w:szCs w:val="24"/>
        </w:rPr>
        <w:t xml:space="preserve"> born</w:t>
      </w:r>
      <w:r w:rsidRPr="00670152">
        <w:rPr>
          <w:rFonts w:ascii="Times New Roman" w:eastAsia="Calibri" w:hAnsi="Times New Roman" w:cs="Times New Roman"/>
          <w:sz w:val="24"/>
          <w:szCs w:val="24"/>
        </w:rPr>
        <w:t xml:space="preserve"> before 1957 who do not have laboratory evidence of disease or immunity to measles</w:t>
      </w:r>
      <w:r w:rsidR="00186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0">
        <w:r w:rsidR="005419C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(Immunize.org, January 2025)</w:t>
        </w:r>
      </w:hyperlink>
      <w:r w:rsidR="005419C2">
        <w:rPr>
          <w:rFonts w:ascii="Times New Roman" w:hAnsi="Times New Roman" w:cs="Times New Roman"/>
          <w:sz w:val="24"/>
          <w:szCs w:val="24"/>
        </w:rPr>
        <w:t xml:space="preserve">. </w:t>
      </w:r>
      <w:r w:rsidRPr="006701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A86267" w14:textId="65A4E84E" w:rsidR="38C809A3" w:rsidRPr="00670152" w:rsidRDefault="38C809A3" w:rsidP="2E63B17B">
      <w:pPr>
        <w:pStyle w:val="ListParagraph"/>
        <w:numPr>
          <w:ilvl w:val="2"/>
          <w:numId w:val="29"/>
        </w:numPr>
        <w:spacing w:after="0" w:line="257" w:lineRule="auto"/>
        <w:rPr>
          <w:rFonts w:ascii="Times New Roman" w:eastAsia="Calibri" w:hAnsi="Times New Roman" w:cs="Times New Roman"/>
          <w:sz w:val="24"/>
          <w:szCs w:val="24"/>
        </w:rPr>
      </w:pPr>
      <w:r w:rsidRPr="00670152">
        <w:rPr>
          <w:rFonts w:ascii="Times New Roman" w:eastAsia="Calibri" w:hAnsi="Times New Roman" w:cs="Times New Roman"/>
          <w:sz w:val="24"/>
          <w:szCs w:val="24"/>
        </w:rPr>
        <w:t>For these same HCP who do not have evidence of immunity, 2 doses of MMR vaccine are recommended during an outbreak of measles</w:t>
      </w:r>
      <w:r w:rsidR="001862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1">
        <w:r w:rsidR="001862E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(Immunize.org, January 2025)</w:t>
        </w:r>
      </w:hyperlink>
      <w:r w:rsidR="001862E0">
        <w:rPr>
          <w:rFonts w:ascii="Times New Roman" w:hAnsi="Times New Roman" w:cs="Times New Roman"/>
          <w:sz w:val="24"/>
          <w:szCs w:val="24"/>
        </w:rPr>
        <w:t xml:space="preserve">. </w:t>
      </w:r>
      <w:r w:rsidR="001862E0" w:rsidRPr="006701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29F238" w14:textId="5C01625C" w:rsidR="00467B46" w:rsidRPr="00670152" w:rsidRDefault="00467B46" w:rsidP="2E63B17B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Offer measles or MMR vaccine, unless medically contraindicated, within 72 hours following exposure, for post-exposure prophylaxi</w:t>
      </w:r>
      <w:r w:rsidR="00FB0976" w:rsidRPr="00670152">
        <w:rPr>
          <w:rFonts w:ascii="Times New Roman" w:hAnsi="Times New Roman" w:cs="Times New Roman"/>
          <w:sz w:val="24"/>
          <w:szCs w:val="24"/>
        </w:rPr>
        <w:t xml:space="preserve">s for exposed non-immune </w:t>
      </w:r>
      <w:r w:rsidR="006F08DB" w:rsidRPr="00670152">
        <w:rPr>
          <w:rFonts w:ascii="Times New Roman" w:hAnsi="Times New Roman" w:cs="Times New Roman"/>
          <w:sz w:val="24"/>
          <w:szCs w:val="24"/>
        </w:rPr>
        <w:t>HCP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 (</w:t>
      </w:r>
      <w:hyperlink r:id="rId62" w:anchor="hcw">
        <w:r w:rsidR="00E47F09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Minnesota Department of Health, August 1, 2023).</w:t>
        </w:r>
      </w:hyperlink>
    </w:p>
    <w:p w14:paraId="793227D1" w14:textId="3E22BFA0" w:rsidR="00F17C4F" w:rsidRPr="00670152" w:rsidRDefault="00467B46" w:rsidP="00467B46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Offer immune globulin to prevent or modify measles diseases in susceptible persons when given within 6 days following exposure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anchor="hcw" w:history="1">
        <w:r w:rsidR="00E47F09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(Minnesota Department of Health, August 1, 2023).</w:t>
        </w:r>
      </w:hyperlink>
    </w:p>
    <w:p w14:paraId="218EC7F1" w14:textId="7F4436A9" w:rsidR="002C11FA" w:rsidRPr="00670152" w:rsidRDefault="002C11FA" w:rsidP="002C11FA">
      <w:pPr>
        <w:pStyle w:val="Heading2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Employee Furlough</w:t>
      </w:r>
    </w:p>
    <w:p w14:paraId="58D36863" w14:textId="18628AB8" w:rsidR="00467B46" w:rsidRPr="00670152" w:rsidRDefault="00467B46" w:rsidP="00467B46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hyperlink r:id="rId64" w:anchor="hcw" w:history="1">
        <w:r w:rsidRPr="00670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Minnesota Department of Health, </w:t>
        </w:r>
        <w:r w:rsidR="003D3B77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August</w:t>
        </w:r>
        <w:r w:rsidRPr="00670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1, 2023.</w:t>
        </w:r>
      </w:hyperlink>
    </w:p>
    <w:p w14:paraId="4158837E" w14:textId="23364367" w:rsidR="00467B46" w:rsidRPr="00670152" w:rsidRDefault="00467B46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Susceptible </w:t>
      </w:r>
      <w:r w:rsidR="00057F7F" w:rsidRPr="00670152">
        <w:rPr>
          <w:rFonts w:ascii="Times New Roman" w:hAnsi="Times New Roman" w:cs="Times New Roman"/>
          <w:sz w:val="24"/>
          <w:szCs w:val="24"/>
        </w:rPr>
        <w:t xml:space="preserve">HCP </w:t>
      </w:r>
      <w:r w:rsidRPr="00670152">
        <w:rPr>
          <w:rFonts w:ascii="Times New Roman" w:hAnsi="Times New Roman" w:cs="Times New Roman"/>
          <w:sz w:val="24"/>
          <w:szCs w:val="24"/>
        </w:rPr>
        <w:t>should be excluded from work beginning 5 days through the 21</w:t>
      </w:r>
      <w:r w:rsidRPr="006701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70152">
        <w:rPr>
          <w:rFonts w:ascii="Times New Roman" w:hAnsi="Times New Roman" w:cs="Times New Roman"/>
          <w:sz w:val="24"/>
          <w:szCs w:val="24"/>
        </w:rPr>
        <w:t xml:space="preserve"> day following exposure.</w:t>
      </w:r>
    </w:p>
    <w:p w14:paraId="67B13673" w14:textId="426FB74C" w:rsidR="00F17C4F" w:rsidRPr="00670152" w:rsidRDefault="00467B46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Exclusion is recommended </w:t>
      </w:r>
      <w:r w:rsidR="63E26A31" w:rsidRPr="00670152">
        <w:rPr>
          <w:rFonts w:ascii="Times New Roman" w:hAnsi="Times New Roman" w:cs="Times New Roman"/>
          <w:sz w:val="24"/>
          <w:szCs w:val="24"/>
        </w:rPr>
        <w:t>regardless of</w:t>
      </w:r>
      <w:r w:rsidR="61F310BB"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="0C47DD61" w:rsidRPr="00670152">
        <w:rPr>
          <w:rFonts w:ascii="Times New Roman" w:hAnsi="Times New Roman" w:cs="Times New Roman"/>
          <w:sz w:val="24"/>
          <w:szCs w:val="24"/>
        </w:rPr>
        <w:t>whether</w:t>
      </w:r>
      <w:r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a </w:t>
      </w:r>
      <w:r w:rsidRPr="00670152">
        <w:rPr>
          <w:rFonts w:ascii="Times New Roman" w:hAnsi="Times New Roman" w:cs="Times New Roman"/>
          <w:sz w:val="24"/>
          <w:szCs w:val="24"/>
        </w:rPr>
        <w:t>post</w:t>
      </w:r>
      <w:r w:rsidR="00E47F09" w:rsidRPr="00670152">
        <w:rPr>
          <w:rFonts w:ascii="Times New Roman" w:hAnsi="Times New Roman" w:cs="Times New Roman"/>
          <w:sz w:val="24"/>
          <w:szCs w:val="24"/>
        </w:rPr>
        <w:t>-</w:t>
      </w:r>
      <w:r w:rsidRPr="00670152">
        <w:rPr>
          <w:rFonts w:ascii="Times New Roman" w:hAnsi="Times New Roman" w:cs="Times New Roman"/>
          <w:sz w:val="24"/>
          <w:szCs w:val="24"/>
        </w:rPr>
        <w:t>exposure vaccine or immune globulin is administered.</w:t>
      </w:r>
    </w:p>
    <w:p w14:paraId="2A02569E" w14:textId="74A26176" w:rsidR="002C11FA" w:rsidRPr="00670152" w:rsidRDefault="002C11FA" w:rsidP="002C11FA">
      <w:pPr>
        <w:pStyle w:val="Heading2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Return to Work Guidance</w:t>
      </w:r>
    </w:p>
    <w:p w14:paraId="65643858" w14:textId="2F4C8404" w:rsidR="00467B46" w:rsidRPr="00670152" w:rsidRDefault="00467B46" w:rsidP="00467B46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hyperlink r:id="rId65" w:anchor="hcw" w:history="1">
        <w:r w:rsidRPr="00670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Minnesota Department of Health, </w:t>
        </w:r>
        <w:r w:rsidR="003919D9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August</w:t>
        </w:r>
        <w:r w:rsidRPr="0067015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1, 2023.</w:t>
        </w:r>
      </w:hyperlink>
    </w:p>
    <w:p w14:paraId="50D27E94" w14:textId="566D965E" w:rsidR="00467B46" w:rsidRPr="00670152" w:rsidRDefault="00467B46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Susceptible </w:t>
      </w:r>
      <w:r w:rsidR="00057F7F" w:rsidRPr="00670152">
        <w:rPr>
          <w:rFonts w:ascii="Times New Roman" w:hAnsi="Times New Roman" w:cs="Times New Roman"/>
          <w:sz w:val="24"/>
          <w:szCs w:val="24"/>
        </w:rPr>
        <w:t>HCP</w:t>
      </w:r>
      <w:r w:rsidRPr="00670152">
        <w:rPr>
          <w:rFonts w:ascii="Times New Roman" w:hAnsi="Times New Roman" w:cs="Times New Roman"/>
          <w:sz w:val="24"/>
          <w:szCs w:val="24"/>
        </w:rPr>
        <w:t xml:space="preserve"> should be excluded from work beginning 5 days through the 21</w:t>
      </w:r>
      <w:r w:rsidRPr="006701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70152">
        <w:rPr>
          <w:rFonts w:ascii="Times New Roman" w:hAnsi="Times New Roman" w:cs="Times New Roman"/>
          <w:sz w:val="24"/>
          <w:szCs w:val="24"/>
        </w:rPr>
        <w:t xml:space="preserve"> day following exposure. </w:t>
      </w:r>
    </w:p>
    <w:p w14:paraId="364EE236" w14:textId="6CB5E45A" w:rsidR="00467B46" w:rsidRPr="00670152" w:rsidRDefault="00057F7F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HCP</w:t>
      </w:r>
      <w:r w:rsidR="00E47F09" w:rsidRPr="00670152">
        <w:rPr>
          <w:rFonts w:ascii="Times New Roman" w:hAnsi="Times New Roman" w:cs="Times New Roman"/>
          <w:sz w:val="24"/>
          <w:szCs w:val="24"/>
        </w:rPr>
        <w:t>s</w:t>
      </w:r>
      <w:r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="00467B46" w:rsidRPr="00670152">
        <w:rPr>
          <w:rFonts w:ascii="Times New Roman" w:hAnsi="Times New Roman" w:cs="Times New Roman"/>
          <w:sz w:val="24"/>
          <w:szCs w:val="24"/>
        </w:rPr>
        <w:t>who develop measles symptoms after exposure should be excluded from work until 4 days after rash onset or measles have been ruled out.</w:t>
      </w:r>
    </w:p>
    <w:p w14:paraId="2ACB531A" w14:textId="0B49016B" w:rsidR="00F17C4F" w:rsidRPr="00670152" w:rsidRDefault="00467B46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The employee may need to be cleared by occupational/employee health prior to returning to work, per facility policy.</w:t>
      </w:r>
    </w:p>
    <w:p w14:paraId="0B236F37" w14:textId="291E7680" w:rsidR="002C11FA" w:rsidRPr="00670152" w:rsidRDefault="002C11FA" w:rsidP="002C11FA">
      <w:pPr>
        <w:pStyle w:val="Heading2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Contact Tracing</w:t>
      </w:r>
    </w:p>
    <w:p w14:paraId="0EB2681A" w14:textId="77777777" w:rsidR="00467B46" w:rsidRPr="00670152" w:rsidRDefault="00467B46" w:rsidP="00467B46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Perform contact tracing beginning with identifying the individuals who transported the patient to the hospital.</w:t>
      </w:r>
    </w:p>
    <w:p w14:paraId="6D505D2C" w14:textId="40A7FE5E" w:rsidR="00467B46" w:rsidRPr="00670152" w:rsidRDefault="00467B46" w:rsidP="00467B46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Additionally</w:t>
      </w:r>
      <w:r w:rsidR="00E47F09" w:rsidRPr="00670152">
        <w:rPr>
          <w:rFonts w:ascii="Times New Roman" w:hAnsi="Times New Roman" w:cs="Times New Roman"/>
          <w:sz w:val="24"/>
          <w:szCs w:val="24"/>
        </w:rPr>
        <w:t>,</w:t>
      </w:r>
      <w:r w:rsidRPr="00670152">
        <w:rPr>
          <w:rFonts w:ascii="Times New Roman" w:hAnsi="Times New Roman" w:cs="Times New Roman"/>
          <w:sz w:val="24"/>
          <w:szCs w:val="24"/>
        </w:rPr>
        <w:t xml:space="preserve"> all </w:t>
      </w:r>
      <w:r w:rsidR="00200B31" w:rsidRPr="00670152">
        <w:rPr>
          <w:rFonts w:ascii="Times New Roman" w:hAnsi="Times New Roman" w:cs="Times New Roman"/>
          <w:sz w:val="24"/>
          <w:szCs w:val="24"/>
        </w:rPr>
        <w:t>HCP</w:t>
      </w:r>
      <w:r w:rsidR="00E47F09" w:rsidRPr="00670152">
        <w:rPr>
          <w:rFonts w:ascii="Times New Roman" w:hAnsi="Times New Roman" w:cs="Times New Roman"/>
          <w:sz w:val="24"/>
          <w:szCs w:val="24"/>
        </w:rPr>
        <w:t>s</w:t>
      </w:r>
      <w:r w:rsidRPr="00670152">
        <w:rPr>
          <w:rFonts w:ascii="Times New Roman" w:hAnsi="Times New Roman" w:cs="Times New Roman"/>
          <w:sz w:val="24"/>
          <w:szCs w:val="24"/>
        </w:rPr>
        <w:t xml:space="preserve"> who meet the exposure definition</w:t>
      </w:r>
      <w:r w:rsidR="001862E0">
        <w:rPr>
          <w:rFonts w:ascii="Times New Roman" w:hAnsi="Times New Roman" w:cs="Times New Roman"/>
          <w:sz w:val="24"/>
          <w:szCs w:val="24"/>
        </w:rPr>
        <w:t xml:space="preserve"> must be identified</w:t>
      </w:r>
      <w:r w:rsidRPr="00670152">
        <w:rPr>
          <w:rFonts w:ascii="Times New Roman" w:hAnsi="Times New Roman" w:cs="Times New Roman"/>
          <w:sz w:val="24"/>
          <w:szCs w:val="24"/>
        </w:rPr>
        <w:t>.</w:t>
      </w:r>
    </w:p>
    <w:p w14:paraId="3F1355DF" w14:textId="77777777" w:rsidR="00467B46" w:rsidRPr="00670152" w:rsidRDefault="00467B46" w:rsidP="00467B46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Identify any possible roommates and individuals in waiting areas.</w:t>
      </w:r>
    </w:p>
    <w:p w14:paraId="63D233A3" w14:textId="071699F5" w:rsidR="00467B46" w:rsidRPr="00670152" w:rsidRDefault="00467B46" w:rsidP="00467B46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Partner with public health </w:t>
      </w:r>
      <w:r w:rsidR="00775758">
        <w:rPr>
          <w:rFonts w:ascii="Times New Roman" w:hAnsi="Times New Roman" w:cs="Times New Roman"/>
          <w:sz w:val="24"/>
          <w:szCs w:val="24"/>
        </w:rPr>
        <w:t>to</w:t>
      </w:r>
      <w:r w:rsidRPr="00670152">
        <w:rPr>
          <w:rFonts w:ascii="Times New Roman" w:hAnsi="Times New Roman" w:cs="Times New Roman"/>
          <w:sz w:val="24"/>
          <w:szCs w:val="24"/>
        </w:rPr>
        <w:t xml:space="preserve"> identify potentially exposed </w:t>
      </w:r>
      <w:r w:rsidR="47B2F97A" w:rsidRPr="00670152">
        <w:rPr>
          <w:rFonts w:ascii="Times New Roman" w:hAnsi="Times New Roman" w:cs="Times New Roman"/>
          <w:sz w:val="24"/>
          <w:szCs w:val="24"/>
        </w:rPr>
        <w:t>communities</w:t>
      </w:r>
      <w:r w:rsidR="437B396F" w:rsidRPr="00670152">
        <w:rPr>
          <w:rFonts w:ascii="Times New Roman" w:hAnsi="Times New Roman" w:cs="Times New Roman"/>
          <w:sz w:val="24"/>
          <w:szCs w:val="24"/>
        </w:rPr>
        <w:t xml:space="preserve"> and healthcare </w:t>
      </w:r>
      <w:r w:rsidRPr="00670152">
        <w:rPr>
          <w:rFonts w:ascii="Times New Roman" w:hAnsi="Times New Roman" w:cs="Times New Roman"/>
          <w:sz w:val="24"/>
          <w:szCs w:val="24"/>
        </w:rPr>
        <w:t>contacts.</w:t>
      </w:r>
    </w:p>
    <w:p w14:paraId="09AED73E" w14:textId="044CA274" w:rsidR="00902155" w:rsidRPr="00670152" w:rsidRDefault="003B4FB7" w:rsidP="00467B46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467B46" w:rsidRPr="00670152">
        <w:rPr>
          <w:rFonts w:ascii="Times New Roman" w:hAnsi="Times New Roman" w:cs="Times New Roman"/>
          <w:sz w:val="24"/>
          <w:szCs w:val="24"/>
        </w:rPr>
        <w:t>measles contact trac</w:t>
      </w:r>
      <w:r w:rsidRPr="00670152">
        <w:rPr>
          <w:rFonts w:ascii="Times New Roman" w:hAnsi="Times New Roman" w:cs="Times New Roman"/>
          <w:sz w:val="24"/>
          <w:szCs w:val="24"/>
        </w:rPr>
        <w:t xml:space="preserve">ing </w:t>
      </w:r>
      <w:r w:rsidR="00467B46" w:rsidRPr="00670152">
        <w:rPr>
          <w:rFonts w:ascii="Times New Roman" w:hAnsi="Times New Roman" w:cs="Times New Roman"/>
          <w:sz w:val="24"/>
          <w:szCs w:val="24"/>
        </w:rPr>
        <w:t>form</w:t>
      </w:r>
      <w:r w:rsidR="008E1973"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="00467B46" w:rsidRPr="00670152">
        <w:rPr>
          <w:rFonts w:ascii="Times New Roman" w:hAnsi="Times New Roman" w:cs="Times New Roman"/>
          <w:sz w:val="24"/>
          <w:szCs w:val="24"/>
        </w:rPr>
        <w:t xml:space="preserve">may assist 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in </w:t>
      </w:r>
      <w:r w:rsidR="00467B46" w:rsidRPr="00670152">
        <w:rPr>
          <w:rFonts w:ascii="Times New Roman" w:hAnsi="Times New Roman" w:cs="Times New Roman"/>
          <w:sz w:val="24"/>
          <w:szCs w:val="24"/>
        </w:rPr>
        <w:t>tracking efforts</w:t>
      </w:r>
      <w:r w:rsidR="00DB79D3">
        <w:rPr>
          <w:rFonts w:ascii="Times New Roman" w:hAnsi="Times New Roman" w:cs="Times New Roman"/>
          <w:sz w:val="24"/>
          <w:szCs w:val="24"/>
        </w:rPr>
        <w:t xml:space="preserve"> (</w:t>
      </w:r>
      <w:hyperlink r:id="rId66">
        <w:r w:rsidR="562034A3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Measles, Appendix B, Washington State Department of Health, January 2025</w:t>
        </w:r>
      </w:hyperlink>
      <w:r w:rsidR="00DB79D3">
        <w:rPr>
          <w:rFonts w:ascii="Times New Roman" w:hAnsi="Times New Roman" w:cs="Times New Roman"/>
          <w:sz w:val="24"/>
          <w:szCs w:val="24"/>
        </w:rPr>
        <w:t>)</w:t>
      </w:r>
      <w:r w:rsidR="562034A3" w:rsidRPr="006701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168F3" w14:textId="7BF7A8FA" w:rsidR="002C11FA" w:rsidRPr="00670152" w:rsidRDefault="002C11FA" w:rsidP="002C11FA">
      <w:pPr>
        <w:pStyle w:val="Heading2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High-Risk Employees</w:t>
      </w:r>
    </w:p>
    <w:p w14:paraId="490CEEC2" w14:textId="62E2E235" w:rsidR="00467B46" w:rsidRPr="00670152" w:rsidRDefault="00467B46" w:rsidP="00467B46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Ideally, at the time of hire, healthcare </w:t>
      </w:r>
      <w:r w:rsidR="78AAE6D3" w:rsidRPr="00670152">
        <w:rPr>
          <w:rFonts w:ascii="Times New Roman" w:hAnsi="Times New Roman" w:cs="Times New Roman"/>
          <w:sz w:val="24"/>
          <w:szCs w:val="24"/>
        </w:rPr>
        <w:t>personnel (</w:t>
      </w:r>
      <w:r w:rsidR="3084BF8A" w:rsidRPr="00670152">
        <w:rPr>
          <w:rFonts w:ascii="Times New Roman" w:hAnsi="Times New Roman" w:cs="Times New Roman"/>
          <w:sz w:val="24"/>
          <w:szCs w:val="24"/>
        </w:rPr>
        <w:t>HCP) should</w:t>
      </w:r>
      <w:r w:rsidRPr="00670152">
        <w:rPr>
          <w:rFonts w:ascii="Times New Roman" w:hAnsi="Times New Roman" w:cs="Times New Roman"/>
          <w:sz w:val="24"/>
          <w:szCs w:val="24"/>
        </w:rPr>
        <w:t xml:space="preserve"> be up to date with recommended vaccines, including MMR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 (</w:t>
      </w:r>
      <w:hyperlink r:id="rId67">
        <w:r w:rsidR="00E47F09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Minnesota Department of Health, November 7, 2022</w:t>
        </w:r>
      </w:hyperlink>
      <w:r w:rsidR="00E47F09" w:rsidRPr="00670152">
        <w:rPr>
          <w:rStyle w:val="Hyperlink"/>
          <w:rFonts w:ascii="Times New Roman" w:hAnsi="Times New Roman" w:cs="Times New Roman"/>
          <w:sz w:val="24"/>
          <w:szCs w:val="24"/>
        </w:rPr>
        <w:t xml:space="preserve">). </w:t>
      </w:r>
    </w:p>
    <w:p w14:paraId="10305B80" w14:textId="261D5508" w:rsidR="00467B46" w:rsidRPr="00670152" w:rsidRDefault="00467B46" w:rsidP="00467B46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Pregnan</w:t>
      </w:r>
      <w:r w:rsidR="00F94DAE" w:rsidRPr="00670152">
        <w:rPr>
          <w:rFonts w:ascii="Times New Roman" w:hAnsi="Times New Roman" w:cs="Times New Roman"/>
          <w:sz w:val="24"/>
          <w:szCs w:val="24"/>
        </w:rPr>
        <w:t>t or</w:t>
      </w:r>
      <w:r w:rsidRPr="00670152">
        <w:rPr>
          <w:rFonts w:ascii="Times New Roman" w:hAnsi="Times New Roman" w:cs="Times New Roman"/>
          <w:sz w:val="24"/>
          <w:szCs w:val="24"/>
        </w:rPr>
        <w:t xml:space="preserve"> immunocompromised individuals cannot receive the MMR vaccine.</w:t>
      </w:r>
    </w:p>
    <w:p w14:paraId="2A32FADE" w14:textId="515CA45C" w:rsidR="00467B46" w:rsidRPr="00670152" w:rsidRDefault="00467B46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MMR vaccine is safe for breastfeeding women to receive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 </w:t>
      </w:r>
      <w:hyperlink r:id="rId68" w:history="1">
        <w:r w:rsidR="00E47F09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(CDC, January 26, 2021).</w:t>
        </w:r>
      </w:hyperlink>
    </w:p>
    <w:p w14:paraId="00CEE76D" w14:textId="4AA5EE34" w:rsidR="00467B46" w:rsidRPr="00670152" w:rsidRDefault="00467B46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Immunocompromised </w:t>
      </w:r>
      <w:r w:rsidR="00D3380B" w:rsidRPr="00670152">
        <w:rPr>
          <w:rFonts w:ascii="Times New Roman" w:hAnsi="Times New Roman" w:cs="Times New Roman"/>
          <w:sz w:val="24"/>
          <w:szCs w:val="24"/>
        </w:rPr>
        <w:t>HCP</w:t>
      </w:r>
      <w:r w:rsidRPr="00670152">
        <w:rPr>
          <w:rFonts w:ascii="Times New Roman" w:hAnsi="Times New Roman" w:cs="Times New Roman"/>
          <w:sz w:val="24"/>
          <w:szCs w:val="24"/>
        </w:rPr>
        <w:t xml:space="preserve"> may need to be reassigned; discuss with occupational/employee health and human resources.</w:t>
      </w:r>
    </w:p>
    <w:p w14:paraId="0A0EB903" w14:textId="798590A3" w:rsidR="00467B46" w:rsidRPr="00670152" w:rsidRDefault="00467B46" w:rsidP="2E63B17B">
      <w:pPr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Supply chain:</w:t>
      </w:r>
    </w:p>
    <w:p w14:paraId="71DC605C" w14:textId="77777777" w:rsidR="00467B46" w:rsidRPr="00670152" w:rsidRDefault="00467B46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Ensure an adequate supply of N95 respirators, including an alternative N95 respirator for those who fail fit testing with the primary vendor.</w:t>
      </w:r>
    </w:p>
    <w:p w14:paraId="2E699312" w14:textId="77777777" w:rsidR="00467B46" w:rsidRPr="00670152" w:rsidRDefault="00467B46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Ensure an adequate supply of fit-testing ingredients.</w:t>
      </w:r>
    </w:p>
    <w:p w14:paraId="233BF7E0" w14:textId="7ADDE044" w:rsidR="00467B46" w:rsidRPr="00670152" w:rsidRDefault="217D4FD5" w:rsidP="00467B46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D</w:t>
      </w:r>
      <w:r w:rsidR="00467B46" w:rsidRPr="00670152">
        <w:rPr>
          <w:rFonts w:ascii="Times New Roman" w:hAnsi="Times New Roman" w:cs="Times New Roman"/>
          <w:sz w:val="24"/>
          <w:szCs w:val="24"/>
        </w:rPr>
        <w:t xml:space="preserve">etermine N95 respirator alternatives, such as the PAPR (Powered Air Purifying Respirator) for </w:t>
      </w:r>
      <w:r w:rsidR="00D3380B" w:rsidRPr="00670152">
        <w:rPr>
          <w:rFonts w:ascii="Times New Roman" w:hAnsi="Times New Roman" w:cs="Times New Roman"/>
          <w:sz w:val="24"/>
          <w:szCs w:val="24"/>
        </w:rPr>
        <w:t>HCP</w:t>
      </w:r>
      <w:r w:rsidR="00E47F09" w:rsidRPr="00670152">
        <w:rPr>
          <w:rFonts w:ascii="Times New Roman" w:hAnsi="Times New Roman" w:cs="Times New Roman"/>
          <w:sz w:val="24"/>
          <w:szCs w:val="24"/>
        </w:rPr>
        <w:t>s</w:t>
      </w:r>
      <w:r w:rsidR="00467B46" w:rsidRPr="00670152">
        <w:rPr>
          <w:rFonts w:ascii="Times New Roman" w:hAnsi="Times New Roman" w:cs="Times New Roman"/>
          <w:sz w:val="24"/>
          <w:szCs w:val="24"/>
        </w:rPr>
        <w:t xml:space="preserve"> who fail fit testing but must still enter the airborne infection isolation room.</w:t>
      </w:r>
    </w:p>
    <w:p w14:paraId="4EA11A26" w14:textId="77777777" w:rsidR="00467B46" w:rsidRPr="00670152" w:rsidRDefault="00467B46" w:rsidP="00467B46">
      <w:pPr>
        <w:pStyle w:val="ListParagraph"/>
        <w:numPr>
          <w:ilvl w:val="3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Developing a cleaning/disinfection and storage protocol.</w:t>
      </w:r>
    </w:p>
    <w:p w14:paraId="1575127A" w14:textId="77777777" w:rsidR="00467B46" w:rsidRPr="00670152" w:rsidRDefault="00467B46" w:rsidP="00467B46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Staffing re-assignment as a contingency:</w:t>
      </w:r>
    </w:p>
    <w:p w14:paraId="475290A9" w14:textId="10B4C260" w:rsidR="00467B46" w:rsidRPr="00670152" w:rsidRDefault="00467B46" w:rsidP="00467B46">
      <w:pPr>
        <w:pStyle w:val="ListParagraph"/>
        <w:numPr>
          <w:ilvl w:val="3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Staff with documented immunity should be identified to care for the patient and wear the required respiratory </w:t>
      </w:r>
      <w:proofErr w:type="gramStart"/>
      <w:r w:rsidRPr="00670152">
        <w:rPr>
          <w:rFonts w:ascii="Times New Roman" w:hAnsi="Times New Roman" w:cs="Times New Roman"/>
          <w:sz w:val="24"/>
          <w:szCs w:val="24"/>
        </w:rPr>
        <w:t>protection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 </w:t>
      </w:r>
      <w:r w:rsidR="188A766A" w:rsidRPr="0067015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188A766A" w:rsidRPr="00670152">
        <w:rPr>
          <w:rFonts w:ascii="Times New Roman" w:hAnsi="Times New Roman" w:cs="Times New Roman"/>
          <w:sz w:val="24"/>
          <w:szCs w:val="24"/>
        </w:rPr>
        <w:t>April 2024)</w:t>
      </w:r>
    </w:p>
    <w:p w14:paraId="798A911A" w14:textId="5A36A9F5" w:rsidR="00D13CC2" w:rsidRPr="00670152" w:rsidRDefault="00D3380B" w:rsidP="00467B46">
      <w:pPr>
        <w:pStyle w:val="ListParagraph"/>
        <w:numPr>
          <w:ilvl w:val="3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HCP</w:t>
      </w:r>
      <w:r w:rsidR="00E47F09" w:rsidRPr="00670152">
        <w:rPr>
          <w:rFonts w:ascii="Times New Roman" w:hAnsi="Times New Roman" w:cs="Times New Roman"/>
          <w:sz w:val="24"/>
          <w:szCs w:val="24"/>
        </w:rPr>
        <w:t>s</w:t>
      </w:r>
      <w:r w:rsidR="00467B46" w:rsidRPr="00670152">
        <w:rPr>
          <w:rFonts w:ascii="Times New Roman" w:hAnsi="Times New Roman" w:cs="Times New Roman"/>
          <w:sz w:val="24"/>
          <w:szCs w:val="24"/>
        </w:rPr>
        <w:t xml:space="preserve"> who lack measles immunity are considered susceptible and may require reassignment. </w:t>
      </w:r>
      <w:hyperlink r:id="rId69" w:anchor="NaN" w:history="1">
        <w:r w:rsidR="00E47F09" w:rsidRPr="00670152">
          <w:rPr>
            <w:rStyle w:val="Hyperlink"/>
            <w:rFonts w:ascii="Times New Roman" w:hAnsi="Times New Roman" w:cs="Times New Roman"/>
            <w:sz w:val="24"/>
            <w:szCs w:val="24"/>
          </w:rPr>
          <w:t>(Minnesota Department of Health, August 1, 2023).</w:t>
        </w:r>
      </w:hyperlink>
    </w:p>
    <w:p w14:paraId="74631757" w14:textId="77777777" w:rsidR="002C11FA" w:rsidRPr="00275F7D" w:rsidRDefault="002C11FA" w:rsidP="00275F7D">
      <w:pPr>
        <w:pStyle w:val="Heading1"/>
        <w:shd w:val="clear" w:color="auto" w:fill="00B0F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275F7D">
        <w:rPr>
          <w:rFonts w:ascii="Times New Roman" w:hAnsi="Times New Roman" w:cs="Times New Roman"/>
          <w:color w:val="FFFFFF" w:themeColor="background1"/>
          <w:sz w:val="24"/>
          <w:szCs w:val="24"/>
        </w:rPr>
        <w:t>Outreach Considerations for Healthcare Stakeholders</w:t>
      </w:r>
    </w:p>
    <w:p w14:paraId="18836A48" w14:textId="77777777" w:rsidR="002C11FA" w:rsidRPr="00670152" w:rsidRDefault="002C11FA" w:rsidP="002C11FA">
      <w:pPr>
        <w:pStyle w:val="Heading2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Messaging for Senior Leadership</w:t>
      </w:r>
    </w:p>
    <w:p w14:paraId="0491016F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Resources required</w:t>
      </w:r>
    </w:p>
    <w:p w14:paraId="49F0B86B" w14:textId="7E230CD8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Consider how to escalate resource request</w:t>
      </w:r>
      <w:r w:rsidR="00E47F09" w:rsidRPr="00670152">
        <w:rPr>
          <w:rFonts w:ascii="Times New Roman" w:hAnsi="Times New Roman" w:cs="Times New Roman"/>
          <w:sz w:val="24"/>
          <w:szCs w:val="24"/>
        </w:rPr>
        <w:t>s</w:t>
      </w:r>
      <w:r w:rsidRPr="00670152">
        <w:rPr>
          <w:rFonts w:ascii="Times New Roman" w:hAnsi="Times New Roman" w:cs="Times New Roman"/>
          <w:sz w:val="24"/>
          <w:szCs w:val="24"/>
        </w:rPr>
        <w:t xml:space="preserve"> to senior leaders/supervisor</w:t>
      </w:r>
    </w:p>
    <w:p w14:paraId="32DFCA72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Impact to business continuity</w:t>
      </w:r>
    </w:p>
    <w:p w14:paraId="4E664EA1" w14:textId="2FD8E702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Anticipate how </w:t>
      </w:r>
      <w:r w:rsidR="005340DF" w:rsidRPr="00670152">
        <w:rPr>
          <w:rFonts w:ascii="Times New Roman" w:hAnsi="Times New Roman" w:cs="Times New Roman"/>
          <w:sz w:val="24"/>
          <w:szCs w:val="24"/>
        </w:rPr>
        <w:t>measles</w:t>
      </w:r>
      <w:r w:rsidRPr="00670152">
        <w:rPr>
          <w:rFonts w:ascii="Times New Roman" w:hAnsi="Times New Roman" w:cs="Times New Roman"/>
          <w:sz w:val="24"/>
          <w:szCs w:val="24"/>
        </w:rPr>
        <w:t xml:space="preserve"> may impact daily operations and communicate to senior leadership/supervisor</w:t>
      </w:r>
    </w:p>
    <w:p w14:paraId="45E360D0" w14:textId="77777777" w:rsidR="002C11FA" w:rsidRPr="00670152" w:rsidRDefault="002C11FA" w:rsidP="002C11FA">
      <w:pPr>
        <w:pStyle w:val="Heading2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Marketing and Communications</w:t>
      </w:r>
    </w:p>
    <w:p w14:paraId="54E2D45F" w14:textId="165FDB76" w:rsidR="002C11FA" w:rsidRPr="00670152" w:rsidRDefault="77D5662E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Consider engaging the public health department prior to all communications and interviews</w:t>
      </w:r>
    </w:p>
    <w:p w14:paraId="3F05DBBC" w14:textId="4E8C2E1D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Media management planning</w:t>
      </w:r>
    </w:p>
    <w:p w14:paraId="5ECBA2C5" w14:textId="4925EE3A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Ensure </w:t>
      </w:r>
      <w:r w:rsidR="156AF082" w:rsidRPr="00670152">
        <w:rPr>
          <w:rFonts w:ascii="Times New Roman" w:hAnsi="Times New Roman" w:cs="Times New Roman"/>
          <w:sz w:val="24"/>
          <w:szCs w:val="24"/>
        </w:rPr>
        <w:t>the public</w:t>
      </w:r>
      <w:r w:rsidRPr="00670152">
        <w:rPr>
          <w:rFonts w:ascii="Times New Roman" w:hAnsi="Times New Roman" w:cs="Times New Roman"/>
          <w:sz w:val="24"/>
          <w:szCs w:val="24"/>
        </w:rPr>
        <w:t xml:space="preserve"> information officer (PIO) is updated regularly.  If no PIO has been identified, assign</w:t>
      </w:r>
      <w:r w:rsidR="003A256A" w:rsidRPr="00670152">
        <w:rPr>
          <w:rFonts w:ascii="Times New Roman" w:hAnsi="Times New Roman" w:cs="Times New Roman"/>
          <w:sz w:val="24"/>
          <w:szCs w:val="24"/>
        </w:rPr>
        <w:t xml:space="preserve"> a PIO</w:t>
      </w:r>
      <w:r w:rsidRPr="00670152">
        <w:rPr>
          <w:rFonts w:ascii="Times New Roman" w:hAnsi="Times New Roman" w:cs="Times New Roman"/>
          <w:sz w:val="24"/>
          <w:szCs w:val="24"/>
        </w:rPr>
        <w:t>.  This person is typically responsible for representing the facility during interviews and media information requests.</w:t>
      </w:r>
    </w:p>
    <w:p w14:paraId="453059D9" w14:textId="64A81A43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Communication for hospital staff and physicians</w:t>
      </w:r>
    </w:p>
    <w:p w14:paraId="6AF3C474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Consider how staff and physicians prefer communication</w:t>
      </w:r>
    </w:p>
    <w:p w14:paraId="24C48230" w14:textId="252AF473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Create a dated template so 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the </w:t>
      </w:r>
      <w:r w:rsidRPr="00670152">
        <w:rPr>
          <w:rFonts w:ascii="Times New Roman" w:hAnsi="Times New Roman" w:cs="Times New Roman"/>
          <w:sz w:val="24"/>
          <w:szCs w:val="24"/>
        </w:rPr>
        <w:t>team become</w:t>
      </w:r>
      <w:r w:rsidR="00EF340F" w:rsidRPr="00670152">
        <w:rPr>
          <w:rFonts w:ascii="Times New Roman" w:hAnsi="Times New Roman" w:cs="Times New Roman"/>
          <w:sz w:val="24"/>
          <w:szCs w:val="24"/>
        </w:rPr>
        <w:t>s</w:t>
      </w:r>
      <w:r w:rsidRPr="00670152">
        <w:rPr>
          <w:rFonts w:ascii="Times New Roman" w:hAnsi="Times New Roman" w:cs="Times New Roman"/>
          <w:sz w:val="24"/>
          <w:szCs w:val="24"/>
        </w:rPr>
        <w:t xml:space="preserve"> familiar with 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the </w:t>
      </w:r>
      <w:r w:rsidRPr="00670152">
        <w:rPr>
          <w:rFonts w:ascii="Times New Roman" w:hAnsi="Times New Roman" w:cs="Times New Roman"/>
          <w:sz w:val="24"/>
          <w:szCs w:val="24"/>
        </w:rPr>
        <w:t>update</w:t>
      </w:r>
      <w:r w:rsidR="00E47F09" w:rsidRPr="00670152">
        <w:rPr>
          <w:rFonts w:ascii="Times New Roman" w:hAnsi="Times New Roman" w:cs="Times New Roman"/>
          <w:sz w:val="24"/>
          <w:szCs w:val="24"/>
        </w:rPr>
        <w:t>d</w:t>
      </w:r>
      <w:r w:rsidRPr="00670152">
        <w:rPr>
          <w:rFonts w:ascii="Times New Roman" w:hAnsi="Times New Roman" w:cs="Times New Roman"/>
          <w:sz w:val="24"/>
          <w:szCs w:val="24"/>
        </w:rPr>
        <w:t xml:space="preserve"> format</w:t>
      </w:r>
    </w:p>
    <w:p w14:paraId="21C34295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Consider how often staff and physicians want to be updated</w:t>
      </w:r>
    </w:p>
    <w:p w14:paraId="252D7759" w14:textId="10EB8CCB" w:rsidR="002C11FA" w:rsidRPr="00670152" w:rsidRDefault="002C11FA" w:rsidP="1ABB1459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Consider updates for patients, especially as guidance is updated</w:t>
      </w:r>
    </w:p>
    <w:p w14:paraId="135D788F" w14:textId="77777777" w:rsidR="002C11FA" w:rsidRPr="00670152" w:rsidRDefault="002C11FA" w:rsidP="002C11FA">
      <w:pPr>
        <w:pStyle w:val="Heading2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Public Health</w:t>
      </w:r>
    </w:p>
    <w:p w14:paraId="4CA39BDA" w14:textId="0E3A0F4B" w:rsidR="002C11FA" w:rsidRPr="00670152" w:rsidRDefault="6CA646BE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Consider adding the local and state health department phone numbers to work and personal phones.</w:t>
      </w:r>
    </w:p>
    <w:p w14:paraId="03E6C6B1" w14:textId="2B084702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Case reporting requirements</w:t>
      </w:r>
    </w:p>
    <w:p w14:paraId="47612561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lastRenderedPageBreak/>
        <w:t>Connect with local public health to understand what elements are required within reports, and how often information should be reported</w:t>
      </w:r>
    </w:p>
    <w:p w14:paraId="74E3D31A" w14:textId="4CDEA26C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Case </w:t>
      </w:r>
      <w:r w:rsidR="00E47F09" w:rsidRPr="00670152">
        <w:rPr>
          <w:rFonts w:ascii="Times New Roman" w:hAnsi="Times New Roman" w:cs="Times New Roman"/>
          <w:sz w:val="24"/>
          <w:szCs w:val="24"/>
        </w:rPr>
        <w:t>T</w:t>
      </w:r>
      <w:r w:rsidRPr="00670152">
        <w:rPr>
          <w:rFonts w:ascii="Times New Roman" w:hAnsi="Times New Roman" w:cs="Times New Roman"/>
          <w:sz w:val="24"/>
          <w:szCs w:val="24"/>
        </w:rPr>
        <w:t>esting</w:t>
      </w:r>
    </w:p>
    <w:p w14:paraId="6326769E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Connect with local public health to understand testing criteria, and if permission must be granted for testing.  If permission is not required, public health may require notification for testing.</w:t>
      </w:r>
    </w:p>
    <w:p w14:paraId="55A17412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Patient transfer</w:t>
      </w:r>
    </w:p>
    <w:p w14:paraId="2DEECD3A" w14:textId="4F99B8E5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Connect with local public health to understand what reporting is needed prior to patient transfer or discharge.</w:t>
      </w:r>
    </w:p>
    <w:p w14:paraId="3D43F91F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Exposure communication</w:t>
      </w:r>
    </w:p>
    <w:p w14:paraId="3C21C8CF" w14:textId="392BC149" w:rsidR="002C11FA" w:rsidRPr="00670152" w:rsidRDefault="002C11FA" w:rsidP="1ABB1459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Connect with local public health to understand reporting requirements for healthcare worker, patient, or visitor exposure</w:t>
      </w:r>
    </w:p>
    <w:p w14:paraId="175A1390" w14:textId="77777777" w:rsidR="002C11FA" w:rsidRPr="00670152" w:rsidRDefault="002C11FA" w:rsidP="002C11FA">
      <w:pPr>
        <w:pStyle w:val="Heading2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Pharmacy</w:t>
      </w:r>
    </w:p>
    <w:p w14:paraId="75AD3A06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Prophylaxis procurement</w:t>
      </w:r>
    </w:p>
    <w:p w14:paraId="1197F9A9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Connect with pharmacy to understand prophylaxis options</w:t>
      </w:r>
    </w:p>
    <w:p w14:paraId="0E517714" w14:textId="2B437C34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If local public health distributes prophylaxis, understand 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the </w:t>
      </w:r>
      <w:r w:rsidRPr="00670152">
        <w:rPr>
          <w:rFonts w:ascii="Times New Roman" w:hAnsi="Times New Roman" w:cs="Times New Roman"/>
          <w:sz w:val="24"/>
          <w:szCs w:val="24"/>
        </w:rPr>
        <w:t>criteria required for prophylaxis release</w:t>
      </w:r>
    </w:p>
    <w:p w14:paraId="6651F3F5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Vaccine procurement</w:t>
      </w:r>
    </w:p>
    <w:p w14:paraId="7108F8F5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Connect with pharmacy to understand vaccine options</w:t>
      </w:r>
    </w:p>
    <w:p w14:paraId="0043D1FC" w14:textId="58BAF00B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If local public health distributes vaccine</w:t>
      </w:r>
      <w:r w:rsidR="00E47F09" w:rsidRPr="00670152">
        <w:rPr>
          <w:rFonts w:ascii="Times New Roman" w:hAnsi="Times New Roman" w:cs="Times New Roman"/>
          <w:sz w:val="24"/>
          <w:szCs w:val="24"/>
        </w:rPr>
        <w:t>s</w:t>
      </w:r>
      <w:r w:rsidRPr="00670152">
        <w:rPr>
          <w:rFonts w:ascii="Times New Roman" w:hAnsi="Times New Roman" w:cs="Times New Roman"/>
          <w:sz w:val="24"/>
          <w:szCs w:val="24"/>
        </w:rPr>
        <w:t xml:space="preserve">, understand 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the </w:t>
      </w:r>
      <w:r w:rsidRPr="00670152">
        <w:rPr>
          <w:rFonts w:ascii="Times New Roman" w:hAnsi="Times New Roman" w:cs="Times New Roman"/>
          <w:sz w:val="24"/>
          <w:szCs w:val="24"/>
        </w:rPr>
        <w:t>criteria required for vaccine release</w:t>
      </w:r>
    </w:p>
    <w:p w14:paraId="44DB5124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Treatment requirements</w:t>
      </w:r>
    </w:p>
    <w:p w14:paraId="2CC4AC72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Connect with pharmacy to understand treatment options</w:t>
      </w:r>
    </w:p>
    <w:p w14:paraId="10185587" w14:textId="2CC711DC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If local public health distributes treatment, understand 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the </w:t>
      </w:r>
      <w:r w:rsidRPr="00670152">
        <w:rPr>
          <w:rFonts w:ascii="Times New Roman" w:hAnsi="Times New Roman" w:cs="Times New Roman"/>
          <w:sz w:val="24"/>
          <w:szCs w:val="24"/>
        </w:rPr>
        <w:t>criteria required for treatment release</w:t>
      </w:r>
    </w:p>
    <w:p w14:paraId="1095D3CB" w14:textId="77777777" w:rsidR="002C11FA" w:rsidRPr="00670152" w:rsidRDefault="002C11FA" w:rsidP="002C11FA">
      <w:pPr>
        <w:pStyle w:val="Heading2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Partnering Laboratories</w:t>
      </w:r>
    </w:p>
    <w:p w14:paraId="5EEACB9D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Testing methodologies</w:t>
      </w:r>
    </w:p>
    <w:p w14:paraId="70924111" w14:textId="35A91304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Connect with the laboratory to understand available testing methodologies, and what supplies are required</w:t>
      </w:r>
      <w:r w:rsidR="00C2488E">
        <w:rPr>
          <w:rFonts w:ascii="Times New Roman" w:hAnsi="Times New Roman" w:cs="Times New Roman"/>
          <w:sz w:val="24"/>
          <w:szCs w:val="24"/>
        </w:rPr>
        <w:t>.</w:t>
      </w:r>
      <w:r w:rsidRPr="00670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70CC2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See “Public Health” above if local public health is involved in testing</w:t>
      </w:r>
    </w:p>
    <w:p w14:paraId="16113164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Testing procedure</w:t>
      </w:r>
    </w:p>
    <w:p w14:paraId="2CA084AC" w14:textId="4DF2EB58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Connect with the laboratory to understand 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the </w:t>
      </w:r>
      <w:r w:rsidRPr="00670152">
        <w:rPr>
          <w:rFonts w:ascii="Times New Roman" w:hAnsi="Times New Roman" w:cs="Times New Roman"/>
          <w:sz w:val="24"/>
          <w:szCs w:val="24"/>
        </w:rPr>
        <w:t>testing procedure</w:t>
      </w:r>
    </w:p>
    <w:p w14:paraId="250E8EEE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Include testing procedures in communication to clinical teams</w:t>
      </w:r>
    </w:p>
    <w:p w14:paraId="3A8E0F23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See “Public Health” above if local public health is involved in testing</w:t>
      </w:r>
    </w:p>
    <w:p w14:paraId="76E780E9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Specimen shipment</w:t>
      </w:r>
    </w:p>
    <w:p w14:paraId="2A496AA0" w14:textId="407BCB6C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Ensure the laboratory is aware of shipping </w:t>
      </w:r>
      <w:r w:rsidR="00C2488E" w:rsidRPr="00670152">
        <w:rPr>
          <w:rFonts w:ascii="Times New Roman" w:hAnsi="Times New Roman" w:cs="Times New Roman"/>
          <w:sz w:val="24"/>
          <w:szCs w:val="24"/>
        </w:rPr>
        <w:t>requirements and</w:t>
      </w:r>
      <w:r w:rsidRPr="00670152">
        <w:rPr>
          <w:rFonts w:ascii="Times New Roman" w:hAnsi="Times New Roman" w:cs="Times New Roman"/>
          <w:sz w:val="24"/>
          <w:szCs w:val="24"/>
        </w:rPr>
        <w:t xml:space="preserve"> has the supplies on hand for shipping requirements</w:t>
      </w:r>
      <w:r w:rsidR="00C2488E">
        <w:rPr>
          <w:rFonts w:ascii="Times New Roman" w:hAnsi="Times New Roman" w:cs="Times New Roman"/>
          <w:sz w:val="24"/>
          <w:szCs w:val="24"/>
        </w:rPr>
        <w:t>.</w:t>
      </w:r>
    </w:p>
    <w:p w14:paraId="5D8C38E4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Turnaround time for results</w:t>
      </w:r>
    </w:p>
    <w:p w14:paraId="676F6894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Connect with the laboratory to understand testing turnaround times</w:t>
      </w:r>
    </w:p>
    <w:p w14:paraId="380BE93B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Results reporting</w:t>
      </w:r>
    </w:p>
    <w:p w14:paraId="3BFF52C0" w14:textId="1B2DC553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Connect with the laboratory to understand 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the </w:t>
      </w:r>
      <w:r w:rsidRPr="00670152">
        <w:rPr>
          <w:rFonts w:ascii="Times New Roman" w:hAnsi="Times New Roman" w:cs="Times New Roman"/>
          <w:sz w:val="24"/>
          <w:szCs w:val="24"/>
        </w:rPr>
        <w:t>reporting workflow</w:t>
      </w:r>
    </w:p>
    <w:p w14:paraId="4D16732E" w14:textId="47974B5B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Plan </w:t>
      </w:r>
      <w:r w:rsidR="001062B8" w:rsidRPr="00670152">
        <w:rPr>
          <w:rFonts w:ascii="Times New Roman" w:hAnsi="Times New Roman" w:cs="Times New Roman"/>
          <w:sz w:val="24"/>
          <w:szCs w:val="24"/>
        </w:rPr>
        <w:t xml:space="preserve">with </w:t>
      </w:r>
      <w:r w:rsidRPr="00670152">
        <w:rPr>
          <w:rFonts w:ascii="Times New Roman" w:hAnsi="Times New Roman" w:cs="Times New Roman"/>
          <w:sz w:val="24"/>
          <w:szCs w:val="24"/>
        </w:rPr>
        <w:t>who</w:t>
      </w:r>
      <w:r w:rsidR="001062B8" w:rsidRPr="00670152">
        <w:rPr>
          <w:rFonts w:ascii="Times New Roman" w:hAnsi="Times New Roman" w:cs="Times New Roman"/>
          <w:sz w:val="24"/>
          <w:szCs w:val="24"/>
        </w:rPr>
        <w:t>m</w:t>
      </w:r>
      <w:r w:rsidRPr="00670152">
        <w:rPr>
          <w:rFonts w:ascii="Times New Roman" w:hAnsi="Times New Roman" w:cs="Times New Roman"/>
          <w:sz w:val="24"/>
          <w:szCs w:val="24"/>
        </w:rPr>
        <w:t xml:space="preserve"> and how the laboratory will communicate </w:t>
      </w:r>
      <w:r w:rsidR="00C2488E">
        <w:rPr>
          <w:rFonts w:ascii="Times New Roman" w:hAnsi="Times New Roman" w:cs="Times New Roman"/>
          <w:sz w:val="24"/>
          <w:szCs w:val="24"/>
        </w:rPr>
        <w:t>the</w:t>
      </w:r>
      <w:r w:rsidRPr="00670152">
        <w:rPr>
          <w:rFonts w:ascii="Times New Roman" w:hAnsi="Times New Roman" w:cs="Times New Roman"/>
          <w:sz w:val="24"/>
          <w:szCs w:val="24"/>
        </w:rPr>
        <w:t xml:space="preserve"> results. If testing is sent out, ensure a point of contact is named.</w:t>
      </w:r>
    </w:p>
    <w:p w14:paraId="714D86F9" w14:textId="77777777" w:rsidR="002C11FA" w:rsidRPr="00670152" w:rsidRDefault="002C11FA" w:rsidP="002C11FA">
      <w:pPr>
        <w:pStyle w:val="Heading2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Supply Chain</w:t>
      </w:r>
    </w:p>
    <w:p w14:paraId="463FE170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PPE days on hand reporting</w:t>
      </w:r>
    </w:p>
    <w:p w14:paraId="1BB85D95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Connect with supply chain to identify key PPE to monitor regularly</w:t>
      </w:r>
    </w:p>
    <w:p w14:paraId="0AEAD315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Include senior leadership in communication</w:t>
      </w:r>
    </w:p>
    <w:p w14:paraId="6DB077B6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lastRenderedPageBreak/>
        <w:t>Identify reporting cadence</w:t>
      </w:r>
    </w:p>
    <w:p w14:paraId="25ED6BF8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Contingency planning for PPE</w:t>
      </w:r>
    </w:p>
    <w:p w14:paraId="2053BD79" w14:textId="4C1E08CA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Identify thresholds to begin conservation and contingency plans</w:t>
      </w:r>
    </w:p>
    <w:p w14:paraId="47987D29" w14:textId="579878C9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Provide PPE requirements so supply chain can identify backup, alternate supplies in the case of </w:t>
      </w:r>
      <w:r w:rsidR="00E47F09" w:rsidRPr="00670152">
        <w:rPr>
          <w:rFonts w:ascii="Times New Roman" w:hAnsi="Times New Roman" w:cs="Times New Roman"/>
          <w:sz w:val="24"/>
          <w:szCs w:val="24"/>
        </w:rPr>
        <w:t xml:space="preserve">a </w:t>
      </w:r>
      <w:r w:rsidRPr="00670152">
        <w:rPr>
          <w:rFonts w:ascii="Times New Roman" w:hAnsi="Times New Roman" w:cs="Times New Roman"/>
          <w:sz w:val="24"/>
          <w:szCs w:val="24"/>
        </w:rPr>
        <w:t>shortage</w:t>
      </w:r>
    </w:p>
    <w:p w14:paraId="40065C32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Specific supply planning</w:t>
      </w:r>
    </w:p>
    <w:p w14:paraId="4F0BBCE2" w14:textId="2F048AC7" w:rsidR="002C11FA" w:rsidRPr="00670152" w:rsidRDefault="00E96207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 xml:space="preserve">Plan for </w:t>
      </w:r>
      <w:r w:rsidR="00097356" w:rsidRPr="00670152">
        <w:rPr>
          <w:rFonts w:ascii="Times New Roman" w:hAnsi="Times New Roman" w:cs="Times New Roman"/>
          <w:sz w:val="24"/>
          <w:szCs w:val="24"/>
        </w:rPr>
        <w:t>s</w:t>
      </w:r>
      <w:r w:rsidR="002C11FA" w:rsidRPr="00670152">
        <w:rPr>
          <w:rFonts w:ascii="Times New Roman" w:hAnsi="Times New Roman" w:cs="Times New Roman"/>
          <w:sz w:val="24"/>
          <w:szCs w:val="24"/>
        </w:rPr>
        <w:t xml:space="preserve">pecimen collection supplies, test, </w:t>
      </w:r>
      <w:r w:rsidRPr="00670152">
        <w:rPr>
          <w:rFonts w:ascii="Times New Roman" w:hAnsi="Times New Roman" w:cs="Times New Roman"/>
          <w:sz w:val="24"/>
          <w:szCs w:val="24"/>
        </w:rPr>
        <w:t xml:space="preserve">and </w:t>
      </w:r>
      <w:r w:rsidR="002C11FA" w:rsidRPr="00670152">
        <w:rPr>
          <w:rFonts w:ascii="Times New Roman" w:hAnsi="Times New Roman" w:cs="Times New Roman"/>
          <w:sz w:val="24"/>
          <w:szCs w:val="24"/>
        </w:rPr>
        <w:t>reagent suppl</w:t>
      </w:r>
      <w:r w:rsidRPr="00670152">
        <w:rPr>
          <w:rFonts w:ascii="Times New Roman" w:hAnsi="Times New Roman" w:cs="Times New Roman"/>
          <w:sz w:val="24"/>
          <w:szCs w:val="24"/>
        </w:rPr>
        <w:t>ies</w:t>
      </w:r>
    </w:p>
    <w:p w14:paraId="105A1853" w14:textId="39489E2E" w:rsidR="002C11FA" w:rsidRPr="00670152" w:rsidRDefault="00042DD9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Plan for c</w:t>
      </w:r>
      <w:r w:rsidR="002C11FA" w:rsidRPr="00670152">
        <w:rPr>
          <w:rFonts w:ascii="Times New Roman" w:hAnsi="Times New Roman" w:cs="Times New Roman"/>
          <w:sz w:val="24"/>
          <w:szCs w:val="24"/>
        </w:rPr>
        <w:t>leaning supplies and disinfectants</w:t>
      </w:r>
    </w:p>
    <w:p w14:paraId="6B63E30B" w14:textId="77777777" w:rsidR="002C11FA" w:rsidRPr="00670152" w:rsidRDefault="002C11FA" w:rsidP="002C11FA">
      <w:pPr>
        <w:pStyle w:val="ListParagraph"/>
        <w:numPr>
          <w:ilvl w:val="1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Patient care supply identification</w:t>
      </w:r>
    </w:p>
    <w:p w14:paraId="720A145B" w14:textId="77777777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Example: Ventilators</w:t>
      </w:r>
    </w:p>
    <w:p w14:paraId="07BBCE8A" w14:textId="61E881FC" w:rsidR="002C11FA" w:rsidRPr="00670152" w:rsidRDefault="002C11FA" w:rsidP="002C11FA">
      <w:pPr>
        <w:pStyle w:val="ListParagraph"/>
        <w:numPr>
          <w:ilvl w:val="2"/>
          <w:numId w:val="36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70152">
        <w:rPr>
          <w:rFonts w:ascii="Times New Roman" w:hAnsi="Times New Roman" w:cs="Times New Roman"/>
          <w:sz w:val="24"/>
          <w:szCs w:val="24"/>
        </w:rPr>
        <w:t>Treatment or supportive care supplies</w:t>
      </w:r>
    </w:p>
    <w:p w14:paraId="016D7F13" w14:textId="77777777" w:rsidR="001241E2" w:rsidRPr="00CF07A1" w:rsidRDefault="00E47F09" w:rsidP="00CF07A1">
      <w:pPr>
        <w:pStyle w:val="Heading2"/>
        <w:shd w:val="clear" w:color="auto" w:fill="00B0F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CF07A1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Additional Resources </w:t>
      </w:r>
    </w:p>
    <w:p w14:paraId="47035E26" w14:textId="2240DA4D" w:rsidR="001241E2" w:rsidRDefault="00CF07A1" w:rsidP="001241E2">
      <w:pPr>
        <w:pStyle w:val="Heading2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hyperlink r:id="rId70">
        <w:r>
          <w:rPr>
            <w:rStyle w:val="Hyperlink"/>
            <w:rFonts w:ascii="Times New Roman" w:hAnsi="Times New Roman" w:cs="Times New Roman"/>
            <w:sz w:val="24"/>
            <w:szCs w:val="24"/>
          </w:rPr>
          <w:t>CDC, Measles Clinical Diagnosis Fact Sheet</w:t>
        </w:r>
      </w:hyperlink>
      <w:r w:rsidR="00703EC0" w:rsidRPr="00275F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4456EE" w14:textId="59D06272" w:rsidR="00EB2C5E" w:rsidRPr="004D2968" w:rsidRDefault="4733B6F6" w:rsidP="00865D4D">
      <w:pPr>
        <w:pStyle w:val="Heading2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hyperlink r:id="rId71" w:history="1">
        <w:r w:rsidRPr="004D2968">
          <w:rPr>
            <w:rStyle w:val="Hyperlink"/>
            <w:rFonts w:ascii="Times New Roman" w:hAnsi="Times New Roman" w:cs="Times New Roman"/>
            <w:sz w:val="24"/>
            <w:szCs w:val="24"/>
          </w:rPr>
          <w:t>Government of Canada. Measles: For health professionals</w:t>
        </w:r>
        <w:r w:rsidR="004D2968" w:rsidRPr="004D296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</w:t>
        </w:r>
        <w:r w:rsidRPr="004D296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July 5, </w:t>
        </w:r>
        <w:proofErr w:type="gramStart"/>
        <w:r w:rsidRPr="004D2968">
          <w:rPr>
            <w:rStyle w:val="Hyperlink"/>
            <w:rFonts w:ascii="Times New Roman" w:hAnsi="Times New Roman" w:cs="Times New Roman"/>
            <w:sz w:val="24"/>
            <w:szCs w:val="24"/>
          </w:rPr>
          <w:t>2024</w:t>
        </w:r>
        <w:proofErr w:type="gramEnd"/>
        <w:r w:rsidR="004D2968" w:rsidRPr="004D296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79B9233D" w14:textId="011DE7B4" w:rsidR="00EB2C5E" w:rsidRPr="00670152" w:rsidRDefault="00EB2C5E" w:rsidP="00EB2C5E">
      <w:pPr>
        <w:rPr>
          <w:rFonts w:ascii="Times New Roman" w:hAnsi="Times New Roman" w:cs="Times New Roman"/>
          <w:sz w:val="24"/>
          <w:szCs w:val="24"/>
        </w:rPr>
      </w:pPr>
    </w:p>
    <w:sectPr w:rsidR="00EB2C5E" w:rsidRPr="00670152" w:rsidSect="00380075">
      <w:footerReference w:type="default" r:id="rId7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EF4F" w14:textId="77777777" w:rsidR="00B54F14" w:rsidRDefault="00B54F14" w:rsidP="00C2456A">
      <w:pPr>
        <w:spacing w:after="0" w:line="240" w:lineRule="auto"/>
      </w:pPr>
      <w:r>
        <w:separator/>
      </w:r>
    </w:p>
  </w:endnote>
  <w:endnote w:type="continuationSeparator" w:id="0">
    <w:p w14:paraId="7E7DF595" w14:textId="77777777" w:rsidR="00B54F14" w:rsidRDefault="00B54F14" w:rsidP="00C2456A">
      <w:pPr>
        <w:spacing w:after="0" w:line="240" w:lineRule="auto"/>
      </w:pPr>
      <w:r>
        <w:continuationSeparator/>
      </w:r>
    </w:p>
  </w:endnote>
  <w:endnote w:type="continuationNotice" w:id="1">
    <w:p w14:paraId="4C9E0D1D" w14:textId="77777777" w:rsidR="00B54F14" w:rsidRDefault="00B54F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701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6DD94" w14:textId="1B653AC1" w:rsidR="008D17CA" w:rsidRDefault="008D17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52852B" w14:textId="49DD02E1" w:rsidR="00EC354B" w:rsidRPr="00F03FD3" w:rsidRDefault="00F03FD3">
    <w:pPr>
      <w:pStyle w:val="Footer"/>
      <w:rPr>
        <w:sz w:val="20"/>
        <w:szCs w:val="20"/>
      </w:rPr>
    </w:pPr>
    <w:r w:rsidRPr="004A3D65">
      <w:rPr>
        <w:sz w:val="20"/>
        <w:szCs w:val="20"/>
      </w:rPr>
      <w:t>This document is a product of the APIC Emerging Infectious Disease</w:t>
    </w:r>
    <w:r>
      <w:rPr>
        <w:sz w:val="20"/>
        <w:szCs w:val="20"/>
      </w:rPr>
      <w:t>s</w:t>
    </w:r>
    <w:r w:rsidRPr="004A3D65">
      <w:rPr>
        <w:sz w:val="20"/>
        <w:szCs w:val="20"/>
      </w:rPr>
      <w:t xml:space="preserve"> Task Force. Please contact </w:t>
    </w:r>
    <w:hyperlink r:id="rId1" w:history="1">
      <w:r w:rsidRPr="004A3D65">
        <w:rPr>
          <w:rStyle w:val="Hyperlink"/>
          <w:b/>
          <w:bCs/>
          <w:sz w:val="20"/>
          <w:szCs w:val="20"/>
        </w:rPr>
        <w:t>CRPI@apic.org</w:t>
      </w:r>
    </w:hyperlink>
    <w:r w:rsidRPr="004A3D65">
      <w:rPr>
        <w:b/>
        <w:bCs/>
        <w:sz w:val="20"/>
        <w:szCs w:val="20"/>
      </w:rPr>
      <w:t xml:space="preserve"> </w:t>
    </w:r>
    <w:r w:rsidRPr="004A3D65">
      <w:rPr>
        <w:sz w:val="20"/>
        <w:szCs w:val="20"/>
      </w:rPr>
      <w:t>with questions</w:t>
    </w:r>
    <w:r>
      <w:rPr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D34E" w14:textId="77777777" w:rsidR="00B54F14" w:rsidRDefault="00B54F14" w:rsidP="00C2456A">
      <w:pPr>
        <w:spacing w:after="0" w:line="240" w:lineRule="auto"/>
      </w:pPr>
      <w:r>
        <w:separator/>
      </w:r>
    </w:p>
  </w:footnote>
  <w:footnote w:type="continuationSeparator" w:id="0">
    <w:p w14:paraId="7A99C38E" w14:textId="77777777" w:rsidR="00B54F14" w:rsidRDefault="00B54F14" w:rsidP="00C2456A">
      <w:pPr>
        <w:spacing w:after="0" w:line="240" w:lineRule="auto"/>
      </w:pPr>
      <w:r>
        <w:continuationSeparator/>
      </w:r>
    </w:p>
  </w:footnote>
  <w:footnote w:type="continuationNotice" w:id="1">
    <w:p w14:paraId="51D9FD21" w14:textId="77777777" w:rsidR="00B54F14" w:rsidRDefault="00B54F1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D81"/>
    <w:multiLevelType w:val="hybridMultilevel"/>
    <w:tmpl w:val="D6668D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8749E2"/>
    <w:multiLevelType w:val="hybridMultilevel"/>
    <w:tmpl w:val="08783E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20776"/>
    <w:multiLevelType w:val="hybridMultilevel"/>
    <w:tmpl w:val="1C52F21E"/>
    <w:lvl w:ilvl="0" w:tplc="19869078">
      <w:start w:val="1"/>
      <w:numFmt w:val="decimal"/>
      <w:lvlText w:val="%1)"/>
      <w:lvlJc w:val="left"/>
      <w:pPr>
        <w:ind w:left="360" w:hanging="360"/>
      </w:pPr>
      <w:rPr>
        <w:rFonts w:hint="default"/>
        <w:color w:val="2E74B5" w:themeColor="accent1" w:themeShade="BF"/>
      </w:rPr>
    </w:lvl>
    <w:lvl w:ilvl="1" w:tplc="B3487C9C">
      <w:start w:val="1"/>
      <w:numFmt w:val="lowerLetter"/>
      <w:lvlText w:val="%2."/>
      <w:lvlJc w:val="left"/>
      <w:pPr>
        <w:ind w:left="108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857C5"/>
    <w:multiLevelType w:val="hybridMultilevel"/>
    <w:tmpl w:val="EA9CEA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815801"/>
    <w:multiLevelType w:val="hybridMultilevel"/>
    <w:tmpl w:val="D054D2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754F3"/>
    <w:multiLevelType w:val="hybridMultilevel"/>
    <w:tmpl w:val="77AEB5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5A9498"/>
    <w:multiLevelType w:val="hybridMultilevel"/>
    <w:tmpl w:val="9CB0B0BA"/>
    <w:lvl w:ilvl="0" w:tplc="8B388FA0">
      <w:start w:val="1"/>
      <w:numFmt w:val="lowerRoman"/>
      <w:lvlText w:val="%1."/>
      <w:lvlJc w:val="righ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8BD4BDE6">
      <w:start w:val="1"/>
      <w:numFmt w:val="lowerRoman"/>
      <w:lvlText w:val="%3."/>
      <w:lvlJc w:val="right"/>
      <w:pPr>
        <w:ind w:left="3240" w:hanging="180"/>
      </w:pPr>
    </w:lvl>
    <w:lvl w:ilvl="3" w:tplc="A0E4DD8E">
      <w:start w:val="1"/>
      <w:numFmt w:val="decimal"/>
      <w:lvlText w:val="%4."/>
      <w:lvlJc w:val="left"/>
      <w:pPr>
        <w:ind w:left="3960" w:hanging="360"/>
      </w:pPr>
    </w:lvl>
    <w:lvl w:ilvl="4" w:tplc="4CAE2E0C">
      <w:start w:val="1"/>
      <w:numFmt w:val="lowerLetter"/>
      <w:lvlText w:val="%5."/>
      <w:lvlJc w:val="left"/>
      <w:pPr>
        <w:ind w:left="4680" w:hanging="360"/>
      </w:pPr>
    </w:lvl>
    <w:lvl w:ilvl="5" w:tplc="F648E11C">
      <w:start w:val="1"/>
      <w:numFmt w:val="lowerRoman"/>
      <w:lvlText w:val="%6."/>
      <w:lvlJc w:val="right"/>
      <w:pPr>
        <w:ind w:left="5400" w:hanging="180"/>
      </w:pPr>
    </w:lvl>
    <w:lvl w:ilvl="6" w:tplc="717AAE32">
      <w:start w:val="1"/>
      <w:numFmt w:val="decimal"/>
      <w:lvlText w:val="%7."/>
      <w:lvlJc w:val="left"/>
      <w:pPr>
        <w:ind w:left="6120" w:hanging="360"/>
      </w:pPr>
    </w:lvl>
    <w:lvl w:ilvl="7" w:tplc="480E91DE">
      <w:start w:val="1"/>
      <w:numFmt w:val="lowerLetter"/>
      <w:lvlText w:val="%8."/>
      <w:lvlJc w:val="left"/>
      <w:pPr>
        <w:ind w:left="6840" w:hanging="360"/>
      </w:pPr>
    </w:lvl>
    <w:lvl w:ilvl="8" w:tplc="8C8A1270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D41A27"/>
    <w:multiLevelType w:val="hybridMultilevel"/>
    <w:tmpl w:val="E640A2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444E95"/>
    <w:multiLevelType w:val="hybridMultilevel"/>
    <w:tmpl w:val="BE2075AA"/>
    <w:lvl w:ilvl="0" w:tplc="281E6E72">
      <w:start w:val="1"/>
      <w:numFmt w:val="decimal"/>
      <w:lvlText w:val="%1)"/>
      <w:lvlJc w:val="left"/>
      <w:pPr>
        <w:ind w:left="360" w:hanging="360"/>
      </w:pPr>
      <w:rPr>
        <w:rFonts w:asciiTheme="majorHAnsi" w:eastAsiaTheme="majorEastAsia" w:hAnsiTheme="majorHAnsi" w:cstheme="maj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C80506"/>
    <w:multiLevelType w:val="hybridMultilevel"/>
    <w:tmpl w:val="2F3A4002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5703"/>
    <w:multiLevelType w:val="hybridMultilevel"/>
    <w:tmpl w:val="FF6685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F13972"/>
    <w:multiLevelType w:val="hybridMultilevel"/>
    <w:tmpl w:val="8F704B7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17FA2"/>
    <w:multiLevelType w:val="hybridMultilevel"/>
    <w:tmpl w:val="EF925A52"/>
    <w:lvl w:ilvl="0" w:tplc="7B807E44">
      <w:start w:val="1"/>
      <w:numFmt w:val="lowerLetter"/>
      <w:lvlText w:val="%1."/>
      <w:lvlJc w:val="left"/>
      <w:pPr>
        <w:ind w:left="720" w:hanging="360"/>
      </w:pPr>
    </w:lvl>
    <w:lvl w:ilvl="1" w:tplc="9716C358">
      <w:start w:val="1"/>
      <w:numFmt w:val="lowerLetter"/>
      <w:lvlText w:val="%2."/>
      <w:lvlJc w:val="left"/>
      <w:pPr>
        <w:ind w:left="1440" w:hanging="360"/>
      </w:pPr>
    </w:lvl>
    <w:lvl w:ilvl="2" w:tplc="932C6CA4">
      <w:start w:val="1"/>
      <w:numFmt w:val="lowerRoman"/>
      <w:lvlText w:val="%3."/>
      <w:lvlJc w:val="right"/>
      <w:pPr>
        <w:ind w:left="2160" w:hanging="180"/>
      </w:pPr>
    </w:lvl>
    <w:lvl w:ilvl="3" w:tplc="5F56CF9A">
      <w:start w:val="1"/>
      <w:numFmt w:val="decimal"/>
      <w:lvlText w:val="%4."/>
      <w:lvlJc w:val="left"/>
      <w:pPr>
        <w:ind w:left="2880" w:hanging="360"/>
      </w:pPr>
    </w:lvl>
    <w:lvl w:ilvl="4" w:tplc="FE7EE98A">
      <w:start w:val="1"/>
      <w:numFmt w:val="lowerLetter"/>
      <w:lvlText w:val="%5."/>
      <w:lvlJc w:val="left"/>
      <w:pPr>
        <w:ind w:left="3600" w:hanging="360"/>
      </w:pPr>
    </w:lvl>
    <w:lvl w:ilvl="5" w:tplc="D2769FE8">
      <w:start w:val="1"/>
      <w:numFmt w:val="lowerRoman"/>
      <w:lvlText w:val="%6."/>
      <w:lvlJc w:val="right"/>
      <w:pPr>
        <w:ind w:left="4320" w:hanging="180"/>
      </w:pPr>
    </w:lvl>
    <w:lvl w:ilvl="6" w:tplc="35B4A3BA">
      <w:start w:val="1"/>
      <w:numFmt w:val="decimal"/>
      <w:lvlText w:val="%7."/>
      <w:lvlJc w:val="left"/>
      <w:pPr>
        <w:ind w:left="5040" w:hanging="360"/>
      </w:pPr>
    </w:lvl>
    <w:lvl w:ilvl="7" w:tplc="889E8034">
      <w:start w:val="1"/>
      <w:numFmt w:val="lowerLetter"/>
      <w:lvlText w:val="%8."/>
      <w:lvlJc w:val="left"/>
      <w:pPr>
        <w:ind w:left="5760" w:hanging="360"/>
      </w:pPr>
    </w:lvl>
    <w:lvl w:ilvl="8" w:tplc="CCF20FF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A2AEE"/>
    <w:multiLevelType w:val="multilevel"/>
    <w:tmpl w:val="2AE631DE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right"/>
      <w:pPr>
        <w:ind w:left="3240" w:hanging="180"/>
      </w:pPr>
    </w:lvl>
    <w:lvl w:ilvl="3">
      <w:start w:val="1"/>
      <w:numFmt w:val="decimal"/>
      <w:lvlText w:val="(%4)"/>
      <w:lvlJc w:val="left"/>
      <w:pPr>
        <w:ind w:left="3960" w:hanging="360"/>
      </w:pPr>
    </w:lvl>
    <w:lvl w:ilvl="4">
      <w:start w:val="1"/>
      <w:numFmt w:val="lowerLetter"/>
      <w:lvlText w:val="(%5)"/>
      <w:lvlJc w:val="left"/>
      <w:pPr>
        <w:ind w:left="4680" w:hanging="360"/>
      </w:pPr>
    </w:lvl>
    <w:lvl w:ilvl="5">
      <w:start w:val="1"/>
      <w:numFmt w:val="lowerRoman"/>
      <w:lvlText w:val="(%6)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020603"/>
    <w:multiLevelType w:val="hybridMultilevel"/>
    <w:tmpl w:val="E640A2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3643EA"/>
    <w:multiLevelType w:val="hybridMultilevel"/>
    <w:tmpl w:val="7A64F1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91F3C"/>
    <w:multiLevelType w:val="multilevel"/>
    <w:tmpl w:val="D8AA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C1045F"/>
    <w:multiLevelType w:val="hybridMultilevel"/>
    <w:tmpl w:val="DFF0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43759"/>
    <w:multiLevelType w:val="hybridMultilevel"/>
    <w:tmpl w:val="74E88DF4"/>
    <w:lvl w:ilvl="0" w:tplc="31421206">
      <w:start w:val="1"/>
      <w:numFmt w:val="lowerLetter"/>
      <w:lvlText w:val="%1."/>
      <w:lvlJc w:val="left"/>
      <w:pPr>
        <w:ind w:left="720" w:hanging="360"/>
      </w:pPr>
    </w:lvl>
    <w:lvl w:ilvl="1" w:tplc="EC5ABAC4">
      <w:start w:val="1"/>
      <w:numFmt w:val="lowerLetter"/>
      <w:lvlText w:val="%2."/>
      <w:lvlJc w:val="left"/>
      <w:pPr>
        <w:ind w:left="1440" w:hanging="360"/>
      </w:pPr>
    </w:lvl>
    <w:lvl w:ilvl="2" w:tplc="66BCC560">
      <w:start w:val="1"/>
      <w:numFmt w:val="lowerRoman"/>
      <w:lvlText w:val="%3."/>
      <w:lvlJc w:val="right"/>
      <w:pPr>
        <w:ind w:left="2160" w:hanging="180"/>
      </w:pPr>
    </w:lvl>
    <w:lvl w:ilvl="3" w:tplc="912CDC26">
      <w:start w:val="1"/>
      <w:numFmt w:val="decimal"/>
      <w:lvlText w:val="%4."/>
      <w:lvlJc w:val="left"/>
      <w:pPr>
        <w:ind w:left="2880" w:hanging="360"/>
      </w:pPr>
    </w:lvl>
    <w:lvl w:ilvl="4" w:tplc="47889224">
      <w:start w:val="1"/>
      <w:numFmt w:val="lowerLetter"/>
      <w:lvlText w:val="%5."/>
      <w:lvlJc w:val="left"/>
      <w:pPr>
        <w:ind w:left="3600" w:hanging="360"/>
      </w:pPr>
    </w:lvl>
    <w:lvl w:ilvl="5" w:tplc="09BE3D8E">
      <w:start w:val="1"/>
      <w:numFmt w:val="lowerRoman"/>
      <w:lvlText w:val="%6."/>
      <w:lvlJc w:val="right"/>
      <w:pPr>
        <w:ind w:left="4320" w:hanging="180"/>
      </w:pPr>
    </w:lvl>
    <w:lvl w:ilvl="6" w:tplc="D2BC3208">
      <w:start w:val="1"/>
      <w:numFmt w:val="decimal"/>
      <w:lvlText w:val="%7."/>
      <w:lvlJc w:val="left"/>
      <w:pPr>
        <w:ind w:left="5040" w:hanging="360"/>
      </w:pPr>
    </w:lvl>
    <w:lvl w:ilvl="7" w:tplc="D1EAAAD8">
      <w:start w:val="1"/>
      <w:numFmt w:val="lowerLetter"/>
      <w:lvlText w:val="%8."/>
      <w:lvlJc w:val="left"/>
      <w:pPr>
        <w:ind w:left="5760" w:hanging="360"/>
      </w:pPr>
    </w:lvl>
    <w:lvl w:ilvl="8" w:tplc="BE5413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BD212"/>
    <w:multiLevelType w:val="hybridMultilevel"/>
    <w:tmpl w:val="51BE5808"/>
    <w:lvl w:ilvl="0" w:tplc="73E20DE2">
      <w:start w:val="1"/>
      <w:numFmt w:val="decimal"/>
      <w:lvlText w:val="%1)"/>
      <w:lvlJc w:val="left"/>
      <w:pPr>
        <w:ind w:left="360" w:hanging="360"/>
      </w:pPr>
    </w:lvl>
    <w:lvl w:ilvl="1" w:tplc="85E66648">
      <w:start w:val="1"/>
      <w:numFmt w:val="lowerLetter"/>
      <w:lvlText w:val="%2."/>
      <w:lvlJc w:val="left"/>
      <w:pPr>
        <w:ind w:left="1080" w:hanging="360"/>
      </w:pPr>
      <w:rPr>
        <w:color w:val="000000" w:themeColor="text1"/>
      </w:rPr>
    </w:lvl>
    <w:lvl w:ilvl="2" w:tplc="0EC4CDC0">
      <w:start w:val="1"/>
      <w:numFmt w:val="lowerRoman"/>
      <w:lvlText w:val="%3."/>
      <w:lvlJc w:val="right"/>
      <w:pPr>
        <w:ind w:left="1800" w:hanging="180"/>
      </w:pPr>
      <w:rPr>
        <w:color w:val="000000" w:themeColor="text1"/>
      </w:rPr>
    </w:lvl>
    <w:lvl w:ilvl="3" w:tplc="E0AE11D2">
      <w:start w:val="1"/>
      <w:numFmt w:val="decimal"/>
      <w:lvlText w:val="%4."/>
      <w:lvlJc w:val="left"/>
      <w:pPr>
        <w:ind w:left="2520" w:hanging="360"/>
      </w:pPr>
    </w:lvl>
    <w:lvl w:ilvl="4" w:tplc="F27C1B1A">
      <w:start w:val="1"/>
      <w:numFmt w:val="lowerLetter"/>
      <w:lvlText w:val="%5."/>
      <w:lvlJc w:val="left"/>
      <w:pPr>
        <w:ind w:left="3240" w:hanging="360"/>
      </w:pPr>
    </w:lvl>
    <w:lvl w:ilvl="5" w:tplc="FFCE2C9A">
      <w:start w:val="1"/>
      <w:numFmt w:val="lowerRoman"/>
      <w:lvlText w:val="%6."/>
      <w:lvlJc w:val="right"/>
      <w:pPr>
        <w:ind w:left="3960" w:hanging="180"/>
      </w:pPr>
    </w:lvl>
    <w:lvl w:ilvl="6" w:tplc="5D74BB3E">
      <w:start w:val="1"/>
      <w:numFmt w:val="decimal"/>
      <w:lvlText w:val="%7."/>
      <w:lvlJc w:val="left"/>
      <w:pPr>
        <w:ind w:left="4680" w:hanging="360"/>
      </w:pPr>
    </w:lvl>
    <w:lvl w:ilvl="7" w:tplc="BCD02374">
      <w:start w:val="1"/>
      <w:numFmt w:val="lowerLetter"/>
      <w:lvlText w:val="%8."/>
      <w:lvlJc w:val="left"/>
      <w:pPr>
        <w:ind w:left="5400" w:hanging="360"/>
      </w:pPr>
    </w:lvl>
    <w:lvl w:ilvl="8" w:tplc="6C58EEE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9E2B21"/>
    <w:multiLevelType w:val="hybridMultilevel"/>
    <w:tmpl w:val="A95CB2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63E757"/>
    <w:multiLevelType w:val="hybridMultilevel"/>
    <w:tmpl w:val="F6188332"/>
    <w:lvl w:ilvl="0" w:tplc="8356100C">
      <w:start w:val="1"/>
      <w:numFmt w:val="lowerRoman"/>
      <w:lvlText w:val="%1."/>
      <w:lvlJc w:val="right"/>
      <w:pPr>
        <w:ind w:left="720" w:hanging="360"/>
      </w:pPr>
    </w:lvl>
    <w:lvl w:ilvl="1" w:tplc="1E8683F2">
      <w:start w:val="1"/>
      <w:numFmt w:val="lowerLetter"/>
      <w:lvlText w:val="%2."/>
      <w:lvlJc w:val="left"/>
      <w:pPr>
        <w:ind w:left="1440" w:hanging="360"/>
      </w:pPr>
    </w:lvl>
    <w:lvl w:ilvl="2" w:tplc="6D328282">
      <w:start w:val="1"/>
      <w:numFmt w:val="lowerRoman"/>
      <w:lvlText w:val="%3."/>
      <w:lvlJc w:val="right"/>
      <w:pPr>
        <w:ind w:left="2160" w:hanging="180"/>
      </w:pPr>
    </w:lvl>
    <w:lvl w:ilvl="3" w:tplc="301867B2">
      <w:start w:val="1"/>
      <w:numFmt w:val="decimal"/>
      <w:lvlText w:val="%4."/>
      <w:lvlJc w:val="left"/>
      <w:pPr>
        <w:ind w:left="2880" w:hanging="360"/>
      </w:pPr>
    </w:lvl>
    <w:lvl w:ilvl="4" w:tplc="85F6A314">
      <w:start w:val="1"/>
      <w:numFmt w:val="lowerLetter"/>
      <w:lvlText w:val="%5."/>
      <w:lvlJc w:val="left"/>
      <w:pPr>
        <w:ind w:left="3600" w:hanging="360"/>
      </w:pPr>
    </w:lvl>
    <w:lvl w:ilvl="5" w:tplc="C24A2164">
      <w:start w:val="1"/>
      <w:numFmt w:val="lowerRoman"/>
      <w:lvlText w:val="%6."/>
      <w:lvlJc w:val="right"/>
      <w:pPr>
        <w:ind w:left="4320" w:hanging="180"/>
      </w:pPr>
    </w:lvl>
    <w:lvl w:ilvl="6" w:tplc="6F4C52FE">
      <w:start w:val="1"/>
      <w:numFmt w:val="decimal"/>
      <w:lvlText w:val="%7."/>
      <w:lvlJc w:val="left"/>
      <w:pPr>
        <w:ind w:left="5040" w:hanging="360"/>
      </w:pPr>
    </w:lvl>
    <w:lvl w:ilvl="7" w:tplc="4DC4BE56">
      <w:start w:val="1"/>
      <w:numFmt w:val="lowerLetter"/>
      <w:lvlText w:val="%8."/>
      <w:lvlJc w:val="left"/>
      <w:pPr>
        <w:ind w:left="5760" w:hanging="360"/>
      </w:pPr>
    </w:lvl>
    <w:lvl w:ilvl="8" w:tplc="653E57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43DE1"/>
    <w:multiLevelType w:val="hybridMultilevel"/>
    <w:tmpl w:val="1D742F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F16051"/>
    <w:multiLevelType w:val="hybridMultilevel"/>
    <w:tmpl w:val="8402E4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236876"/>
    <w:multiLevelType w:val="hybridMultilevel"/>
    <w:tmpl w:val="B60C90DA"/>
    <w:lvl w:ilvl="0" w:tplc="99B8927E">
      <w:start w:val="1"/>
      <w:numFmt w:val="decimal"/>
      <w:lvlText w:val="%1)"/>
      <w:lvlJc w:val="left"/>
      <w:pPr>
        <w:ind w:left="360" w:hanging="360"/>
      </w:pPr>
      <w:rPr>
        <w:color w:val="2E74B5" w:themeColor="accent1" w:themeShade="BF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A24B32"/>
    <w:multiLevelType w:val="hybridMultilevel"/>
    <w:tmpl w:val="E2E037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211B82"/>
    <w:multiLevelType w:val="hybridMultilevel"/>
    <w:tmpl w:val="2236EF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477972"/>
    <w:multiLevelType w:val="hybridMultilevel"/>
    <w:tmpl w:val="D6668D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B6FD02D"/>
    <w:multiLevelType w:val="hybridMultilevel"/>
    <w:tmpl w:val="E87A434A"/>
    <w:lvl w:ilvl="0" w:tplc="D98A3214">
      <w:start w:val="1"/>
      <w:numFmt w:val="lowerRoman"/>
      <w:lvlText w:val="%1."/>
      <w:lvlJc w:val="left"/>
      <w:pPr>
        <w:ind w:left="2520" w:hanging="360"/>
      </w:pPr>
    </w:lvl>
    <w:lvl w:ilvl="1" w:tplc="819E0EE4">
      <w:start w:val="1"/>
      <w:numFmt w:val="lowerLetter"/>
      <w:lvlText w:val="%2."/>
      <w:lvlJc w:val="left"/>
      <w:pPr>
        <w:ind w:left="3240" w:hanging="360"/>
      </w:pPr>
    </w:lvl>
    <w:lvl w:ilvl="2" w:tplc="7D84D67E">
      <w:start w:val="1"/>
      <w:numFmt w:val="lowerRoman"/>
      <w:lvlText w:val="%3."/>
      <w:lvlJc w:val="right"/>
      <w:pPr>
        <w:ind w:left="3960" w:hanging="180"/>
      </w:pPr>
    </w:lvl>
    <w:lvl w:ilvl="3" w:tplc="16762AE8">
      <w:start w:val="1"/>
      <w:numFmt w:val="decimal"/>
      <w:lvlText w:val="%4."/>
      <w:lvlJc w:val="left"/>
      <w:pPr>
        <w:ind w:left="4680" w:hanging="360"/>
      </w:pPr>
    </w:lvl>
    <w:lvl w:ilvl="4" w:tplc="71702EA8">
      <w:start w:val="1"/>
      <w:numFmt w:val="lowerLetter"/>
      <w:lvlText w:val="%5."/>
      <w:lvlJc w:val="left"/>
      <w:pPr>
        <w:ind w:left="5400" w:hanging="360"/>
      </w:pPr>
    </w:lvl>
    <w:lvl w:ilvl="5" w:tplc="29F4EE46">
      <w:start w:val="1"/>
      <w:numFmt w:val="lowerRoman"/>
      <w:lvlText w:val="%6."/>
      <w:lvlJc w:val="right"/>
      <w:pPr>
        <w:ind w:left="6120" w:hanging="180"/>
      </w:pPr>
    </w:lvl>
    <w:lvl w:ilvl="6" w:tplc="96B64D1E">
      <w:start w:val="1"/>
      <w:numFmt w:val="decimal"/>
      <w:lvlText w:val="%7."/>
      <w:lvlJc w:val="left"/>
      <w:pPr>
        <w:ind w:left="6840" w:hanging="360"/>
      </w:pPr>
    </w:lvl>
    <w:lvl w:ilvl="7" w:tplc="0180E3FA">
      <w:start w:val="1"/>
      <w:numFmt w:val="lowerLetter"/>
      <w:lvlText w:val="%8."/>
      <w:lvlJc w:val="left"/>
      <w:pPr>
        <w:ind w:left="7560" w:hanging="360"/>
      </w:pPr>
    </w:lvl>
    <w:lvl w:ilvl="8" w:tplc="85DA8158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FF57B8B"/>
    <w:multiLevelType w:val="hybridMultilevel"/>
    <w:tmpl w:val="89DA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138FB"/>
    <w:multiLevelType w:val="hybridMultilevel"/>
    <w:tmpl w:val="63784F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583139"/>
    <w:multiLevelType w:val="hybridMultilevel"/>
    <w:tmpl w:val="4F889B6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8777724"/>
    <w:multiLevelType w:val="hybridMultilevel"/>
    <w:tmpl w:val="08783E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DC505A"/>
    <w:multiLevelType w:val="hybridMultilevel"/>
    <w:tmpl w:val="BA0E2C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BD16FD"/>
    <w:multiLevelType w:val="hybridMultilevel"/>
    <w:tmpl w:val="3FBED42C"/>
    <w:lvl w:ilvl="0" w:tplc="E49A9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F03847"/>
    <w:multiLevelType w:val="hybridMultilevel"/>
    <w:tmpl w:val="56E4E2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4C6EF4"/>
    <w:multiLevelType w:val="hybridMultilevel"/>
    <w:tmpl w:val="AD229F3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AA4037"/>
    <w:multiLevelType w:val="hybridMultilevel"/>
    <w:tmpl w:val="994A38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4572622">
    <w:abstractNumId w:val="6"/>
  </w:num>
  <w:num w:numId="2" w16cid:durableId="543061918">
    <w:abstractNumId w:val="13"/>
  </w:num>
  <w:num w:numId="3" w16cid:durableId="751659118">
    <w:abstractNumId w:val="28"/>
  </w:num>
  <w:num w:numId="4" w16cid:durableId="1012609909">
    <w:abstractNumId w:val="18"/>
  </w:num>
  <w:num w:numId="5" w16cid:durableId="2087336352">
    <w:abstractNumId w:val="21"/>
  </w:num>
  <w:num w:numId="6" w16cid:durableId="606472050">
    <w:abstractNumId w:val="19"/>
  </w:num>
  <w:num w:numId="7" w16cid:durableId="731469107">
    <w:abstractNumId w:val="12"/>
  </w:num>
  <w:num w:numId="8" w16cid:durableId="1616522743">
    <w:abstractNumId w:val="24"/>
  </w:num>
  <w:num w:numId="9" w16cid:durableId="590506844">
    <w:abstractNumId w:val="17"/>
  </w:num>
  <w:num w:numId="10" w16cid:durableId="339504193">
    <w:abstractNumId w:val="16"/>
  </w:num>
  <w:num w:numId="11" w16cid:durableId="731781499">
    <w:abstractNumId w:val="29"/>
  </w:num>
  <w:num w:numId="12" w16cid:durableId="12622284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5830810">
    <w:abstractNumId w:val="2"/>
  </w:num>
  <w:num w:numId="14" w16cid:durableId="257907772">
    <w:abstractNumId w:val="30"/>
  </w:num>
  <w:num w:numId="15" w16cid:durableId="330329172">
    <w:abstractNumId w:val="5"/>
  </w:num>
  <w:num w:numId="16" w16cid:durableId="1051460388">
    <w:abstractNumId w:val="15"/>
  </w:num>
  <w:num w:numId="17" w16cid:durableId="1480463104">
    <w:abstractNumId w:val="10"/>
  </w:num>
  <w:num w:numId="18" w16cid:durableId="1288194737">
    <w:abstractNumId w:val="33"/>
  </w:num>
  <w:num w:numId="19" w16cid:durableId="1984265661">
    <w:abstractNumId w:val="25"/>
  </w:num>
  <w:num w:numId="20" w16cid:durableId="1354459735">
    <w:abstractNumId w:val="31"/>
  </w:num>
  <w:num w:numId="21" w16cid:durableId="1284842150">
    <w:abstractNumId w:val="36"/>
  </w:num>
  <w:num w:numId="22" w16cid:durableId="1194463340">
    <w:abstractNumId w:val="20"/>
  </w:num>
  <w:num w:numId="23" w16cid:durableId="593251265">
    <w:abstractNumId w:val="3"/>
  </w:num>
  <w:num w:numId="24" w16cid:durableId="512569788">
    <w:abstractNumId w:val="23"/>
  </w:num>
  <w:num w:numId="25" w16cid:durableId="179855075">
    <w:abstractNumId w:val="27"/>
  </w:num>
  <w:num w:numId="26" w16cid:durableId="998264446">
    <w:abstractNumId w:val="0"/>
  </w:num>
  <w:num w:numId="27" w16cid:durableId="211573759">
    <w:abstractNumId w:val="32"/>
  </w:num>
  <w:num w:numId="28" w16cid:durableId="298657790">
    <w:abstractNumId w:val="1"/>
  </w:num>
  <w:num w:numId="29" w16cid:durableId="154344326">
    <w:abstractNumId w:val="11"/>
  </w:num>
  <w:num w:numId="30" w16cid:durableId="2133860156">
    <w:abstractNumId w:val="22"/>
  </w:num>
  <w:num w:numId="31" w16cid:durableId="454178832">
    <w:abstractNumId w:val="37"/>
  </w:num>
  <w:num w:numId="32" w16cid:durableId="1738700984">
    <w:abstractNumId w:val="35"/>
  </w:num>
  <w:num w:numId="33" w16cid:durableId="416052579">
    <w:abstractNumId w:val="4"/>
  </w:num>
  <w:num w:numId="34" w16cid:durableId="918752768">
    <w:abstractNumId w:val="7"/>
  </w:num>
  <w:num w:numId="35" w16cid:durableId="99952911">
    <w:abstractNumId w:val="14"/>
  </w:num>
  <w:num w:numId="36" w16cid:durableId="1150251723">
    <w:abstractNumId w:val="8"/>
  </w:num>
  <w:num w:numId="37" w16cid:durableId="1904173027">
    <w:abstractNumId w:val="26"/>
  </w:num>
  <w:num w:numId="38" w16cid:durableId="1837767823">
    <w:abstractNumId w:val="9"/>
  </w:num>
  <w:num w:numId="39" w16cid:durableId="1143019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BF"/>
    <w:rsid w:val="00000FEC"/>
    <w:rsid w:val="00007A11"/>
    <w:rsid w:val="00015FC9"/>
    <w:rsid w:val="00016028"/>
    <w:rsid w:val="000248F2"/>
    <w:rsid w:val="00036340"/>
    <w:rsid w:val="00042DD9"/>
    <w:rsid w:val="00043623"/>
    <w:rsid w:val="00052EB2"/>
    <w:rsid w:val="00054D63"/>
    <w:rsid w:val="00057F7F"/>
    <w:rsid w:val="0006315C"/>
    <w:rsid w:val="00070E01"/>
    <w:rsid w:val="00097356"/>
    <w:rsid w:val="000A4B80"/>
    <w:rsid w:val="000B1597"/>
    <w:rsid w:val="000E085F"/>
    <w:rsid w:val="000E1DE0"/>
    <w:rsid w:val="000E3125"/>
    <w:rsid w:val="000E55DB"/>
    <w:rsid w:val="000F1B0C"/>
    <w:rsid w:val="000F3A30"/>
    <w:rsid w:val="000F67F1"/>
    <w:rsid w:val="001023FF"/>
    <w:rsid w:val="001062B8"/>
    <w:rsid w:val="001106BB"/>
    <w:rsid w:val="00114347"/>
    <w:rsid w:val="001206AC"/>
    <w:rsid w:val="001241E2"/>
    <w:rsid w:val="0014093A"/>
    <w:rsid w:val="001470CF"/>
    <w:rsid w:val="00156C0D"/>
    <w:rsid w:val="00163AF4"/>
    <w:rsid w:val="00173AF8"/>
    <w:rsid w:val="001862E0"/>
    <w:rsid w:val="0019225F"/>
    <w:rsid w:val="001924B6"/>
    <w:rsid w:val="00197514"/>
    <w:rsid w:val="001C06B0"/>
    <w:rsid w:val="00200B31"/>
    <w:rsid w:val="002027CA"/>
    <w:rsid w:val="00204825"/>
    <w:rsid w:val="00230B23"/>
    <w:rsid w:val="002365F5"/>
    <w:rsid w:val="00264C2D"/>
    <w:rsid w:val="0027103C"/>
    <w:rsid w:val="00275F7D"/>
    <w:rsid w:val="00282080"/>
    <w:rsid w:val="002833BA"/>
    <w:rsid w:val="002A75D7"/>
    <w:rsid w:val="002C11FA"/>
    <w:rsid w:val="002C2FA2"/>
    <w:rsid w:val="002C327D"/>
    <w:rsid w:val="002C37DA"/>
    <w:rsid w:val="002C3CC9"/>
    <w:rsid w:val="002C57C9"/>
    <w:rsid w:val="002D5214"/>
    <w:rsid w:val="002D6235"/>
    <w:rsid w:val="002D7BAA"/>
    <w:rsid w:val="002F0BF6"/>
    <w:rsid w:val="00302AF6"/>
    <w:rsid w:val="00304F49"/>
    <w:rsid w:val="00307FFE"/>
    <w:rsid w:val="00311ACF"/>
    <w:rsid w:val="003328D4"/>
    <w:rsid w:val="00353C7E"/>
    <w:rsid w:val="00355AD8"/>
    <w:rsid w:val="00355BE7"/>
    <w:rsid w:val="00361385"/>
    <w:rsid w:val="0036470C"/>
    <w:rsid w:val="00371912"/>
    <w:rsid w:val="0037602C"/>
    <w:rsid w:val="00380075"/>
    <w:rsid w:val="003818B1"/>
    <w:rsid w:val="00385511"/>
    <w:rsid w:val="00391858"/>
    <w:rsid w:val="003919D9"/>
    <w:rsid w:val="00397296"/>
    <w:rsid w:val="0039771D"/>
    <w:rsid w:val="003A2460"/>
    <w:rsid w:val="003A256A"/>
    <w:rsid w:val="003A79D2"/>
    <w:rsid w:val="003B4FB7"/>
    <w:rsid w:val="003B55A3"/>
    <w:rsid w:val="003C25EB"/>
    <w:rsid w:val="003D07A5"/>
    <w:rsid w:val="003D3B77"/>
    <w:rsid w:val="003F447B"/>
    <w:rsid w:val="00407B91"/>
    <w:rsid w:val="004115D5"/>
    <w:rsid w:val="00411A16"/>
    <w:rsid w:val="00413DEB"/>
    <w:rsid w:val="00420A09"/>
    <w:rsid w:val="004337B1"/>
    <w:rsid w:val="00433E2A"/>
    <w:rsid w:val="00436121"/>
    <w:rsid w:val="0044513B"/>
    <w:rsid w:val="00456C00"/>
    <w:rsid w:val="00467B46"/>
    <w:rsid w:val="004700DA"/>
    <w:rsid w:val="00470966"/>
    <w:rsid w:val="004713BF"/>
    <w:rsid w:val="00472736"/>
    <w:rsid w:val="004821BF"/>
    <w:rsid w:val="00484A68"/>
    <w:rsid w:val="00486A61"/>
    <w:rsid w:val="004A0A07"/>
    <w:rsid w:val="004B0405"/>
    <w:rsid w:val="004B1A52"/>
    <w:rsid w:val="004B6260"/>
    <w:rsid w:val="004C1DD7"/>
    <w:rsid w:val="004C412D"/>
    <w:rsid w:val="004C4AB1"/>
    <w:rsid w:val="004D2968"/>
    <w:rsid w:val="004E0394"/>
    <w:rsid w:val="004E4C48"/>
    <w:rsid w:val="004F126B"/>
    <w:rsid w:val="004F2BCD"/>
    <w:rsid w:val="00523F74"/>
    <w:rsid w:val="005340DF"/>
    <w:rsid w:val="005419C2"/>
    <w:rsid w:val="005451E0"/>
    <w:rsid w:val="00577DF2"/>
    <w:rsid w:val="005838B8"/>
    <w:rsid w:val="00597B96"/>
    <w:rsid w:val="005B4288"/>
    <w:rsid w:val="005B6C37"/>
    <w:rsid w:val="005C38A0"/>
    <w:rsid w:val="005C55D2"/>
    <w:rsid w:val="005E508A"/>
    <w:rsid w:val="005F2D3D"/>
    <w:rsid w:val="005F76CF"/>
    <w:rsid w:val="00605839"/>
    <w:rsid w:val="00605AEB"/>
    <w:rsid w:val="00621A7B"/>
    <w:rsid w:val="006250C4"/>
    <w:rsid w:val="00626192"/>
    <w:rsid w:val="00635CBD"/>
    <w:rsid w:val="00645819"/>
    <w:rsid w:val="0065095D"/>
    <w:rsid w:val="00660DCD"/>
    <w:rsid w:val="00665877"/>
    <w:rsid w:val="00670152"/>
    <w:rsid w:val="006A6D20"/>
    <w:rsid w:val="006B1698"/>
    <w:rsid w:val="006B3500"/>
    <w:rsid w:val="006C483E"/>
    <w:rsid w:val="006D05AB"/>
    <w:rsid w:val="006D3A15"/>
    <w:rsid w:val="006D5E92"/>
    <w:rsid w:val="006D65FC"/>
    <w:rsid w:val="006D687B"/>
    <w:rsid w:val="006F08DB"/>
    <w:rsid w:val="007005EB"/>
    <w:rsid w:val="00702127"/>
    <w:rsid w:val="00703EC0"/>
    <w:rsid w:val="00713E78"/>
    <w:rsid w:val="007158F0"/>
    <w:rsid w:val="0072193D"/>
    <w:rsid w:val="00722902"/>
    <w:rsid w:val="00742909"/>
    <w:rsid w:val="007446E9"/>
    <w:rsid w:val="007725AF"/>
    <w:rsid w:val="00775758"/>
    <w:rsid w:val="0077669F"/>
    <w:rsid w:val="00785D17"/>
    <w:rsid w:val="00786019"/>
    <w:rsid w:val="0078768D"/>
    <w:rsid w:val="007935C5"/>
    <w:rsid w:val="00796177"/>
    <w:rsid w:val="00796D34"/>
    <w:rsid w:val="007C1D9F"/>
    <w:rsid w:val="007C345A"/>
    <w:rsid w:val="007C6EE8"/>
    <w:rsid w:val="007C7BA2"/>
    <w:rsid w:val="007D1619"/>
    <w:rsid w:val="007D3091"/>
    <w:rsid w:val="007F0031"/>
    <w:rsid w:val="007F5176"/>
    <w:rsid w:val="008316E8"/>
    <w:rsid w:val="00831E6C"/>
    <w:rsid w:val="008402E5"/>
    <w:rsid w:val="008432BE"/>
    <w:rsid w:val="00847682"/>
    <w:rsid w:val="00856038"/>
    <w:rsid w:val="0086265E"/>
    <w:rsid w:val="008664E3"/>
    <w:rsid w:val="00877D70"/>
    <w:rsid w:val="00884713"/>
    <w:rsid w:val="00890361"/>
    <w:rsid w:val="008A7E9B"/>
    <w:rsid w:val="008B11E3"/>
    <w:rsid w:val="008D11C0"/>
    <w:rsid w:val="008D152C"/>
    <w:rsid w:val="008D17CA"/>
    <w:rsid w:val="008D5CE6"/>
    <w:rsid w:val="008E1973"/>
    <w:rsid w:val="008E20ED"/>
    <w:rsid w:val="008E48F7"/>
    <w:rsid w:val="008E56F2"/>
    <w:rsid w:val="008E634B"/>
    <w:rsid w:val="008F09EA"/>
    <w:rsid w:val="008F147C"/>
    <w:rsid w:val="00902155"/>
    <w:rsid w:val="009136AF"/>
    <w:rsid w:val="0091570B"/>
    <w:rsid w:val="00916C22"/>
    <w:rsid w:val="00926AC4"/>
    <w:rsid w:val="009328A7"/>
    <w:rsid w:val="0093438B"/>
    <w:rsid w:val="0093609B"/>
    <w:rsid w:val="00942310"/>
    <w:rsid w:val="00943220"/>
    <w:rsid w:val="00956051"/>
    <w:rsid w:val="00961339"/>
    <w:rsid w:val="009753AC"/>
    <w:rsid w:val="00977D30"/>
    <w:rsid w:val="00982E79"/>
    <w:rsid w:val="00983AEC"/>
    <w:rsid w:val="009860BF"/>
    <w:rsid w:val="009A15FB"/>
    <w:rsid w:val="009A2D84"/>
    <w:rsid w:val="009B52F4"/>
    <w:rsid w:val="009B6236"/>
    <w:rsid w:val="009E0871"/>
    <w:rsid w:val="009F4637"/>
    <w:rsid w:val="009F763F"/>
    <w:rsid w:val="00A07DD5"/>
    <w:rsid w:val="00A35EA9"/>
    <w:rsid w:val="00A4117E"/>
    <w:rsid w:val="00A56069"/>
    <w:rsid w:val="00A60BC7"/>
    <w:rsid w:val="00A6197C"/>
    <w:rsid w:val="00A650C6"/>
    <w:rsid w:val="00A72BE7"/>
    <w:rsid w:val="00A831FC"/>
    <w:rsid w:val="00AA1F5B"/>
    <w:rsid w:val="00AB1D24"/>
    <w:rsid w:val="00AB7718"/>
    <w:rsid w:val="00AD0DEE"/>
    <w:rsid w:val="00AD31E7"/>
    <w:rsid w:val="00AE6749"/>
    <w:rsid w:val="00AF0433"/>
    <w:rsid w:val="00AF71FD"/>
    <w:rsid w:val="00B00791"/>
    <w:rsid w:val="00B0586A"/>
    <w:rsid w:val="00B11490"/>
    <w:rsid w:val="00B1316D"/>
    <w:rsid w:val="00B5308F"/>
    <w:rsid w:val="00B54F14"/>
    <w:rsid w:val="00B60FA9"/>
    <w:rsid w:val="00B65EE4"/>
    <w:rsid w:val="00B77E15"/>
    <w:rsid w:val="00B90B7A"/>
    <w:rsid w:val="00B94A62"/>
    <w:rsid w:val="00B961BD"/>
    <w:rsid w:val="00BA4002"/>
    <w:rsid w:val="00BB6C26"/>
    <w:rsid w:val="00BC2774"/>
    <w:rsid w:val="00BC6563"/>
    <w:rsid w:val="00BC7615"/>
    <w:rsid w:val="00BD32DD"/>
    <w:rsid w:val="00BD6B6E"/>
    <w:rsid w:val="00BD7C23"/>
    <w:rsid w:val="00BE38DC"/>
    <w:rsid w:val="00BE40AC"/>
    <w:rsid w:val="00BE52B4"/>
    <w:rsid w:val="00C163F9"/>
    <w:rsid w:val="00C22E6E"/>
    <w:rsid w:val="00C2456A"/>
    <w:rsid w:val="00C2488E"/>
    <w:rsid w:val="00C33CE6"/>
    <w:rsid w:val="00C34597"/>
    <w:rsid w:val="00C36ED9"/>
    <w:rsid w:val="00C45317"/>
    <w:rsid w:val="00C61C44"/>
    <w:rsid w:val="00C73D56"/>
    <w:rsid w:val="00C821C1"/>
    <w:rsid w:val="00C9094A"/>
    <w:rsid w:val="00C94E30"/>
    <w:rsid w:val="00CB07FE"/>
    <w:rsid w:val="00CB7953"/>
    <w:rsid w:val="00CC0AEF"/>
    <w:rsid w:val="00CD136F"/>
    <w:rsid w:val="00CF07A1"/>
    <w:rsid w:val="00CF4604"/>
    <w:rsid w:val="00CF677F"/>
    <w:rsid w:val="00D13CC2"/>
    <w:rsid w:val="00D23E71"/>
    <w:rsid w:val="00D24661"/>
    <w:rsid w:val="00D3380B"/>
    <w:rsid w:val="00D46A41"/>
    <w:rsid w:val="00D50F60"/>
    <w:rsid w:val="00D8123B"/>
    <w:rsid w:val="00D813FC"/>
    <w:rsid w:val="00D91302"/>
    <w:rsid w:val="00D93141"/>
    <w:rsid w:val="00DA2E8A"/>
    <w:rsid w:val="00DA7F68"/>
    <w:rsid w:val="00DB5002"/>
    <w:rsid w:val="00DB50A2"/>
    <w:rsid w:val="00DB69AB"/>
    <w:rsid w:val="00DB79D3"/>
    <w:rsid w:val="00DE5041"/>
    <w:rsid w:val="00DF09E7"/>
    <w:rsid w:val="00DF4945"/>
    <w:rsid w:val="00E00708"/>
    <w:rsid w:val="00E02D23"/>
    <w:rsid w:val="00E15AE7"/>
    <w:rsid w:val="00E32D6C"/>
    <w:rsid w:val="00E45A8C"/>
    <w:rsid w:val="00E47F09"/>
    <w:rsid w:val="00E5624B"/>
    <w:rsid w:val="00E60167"/>
    <w:rsid w:val="00E805CD"/>
    <w:rsid w:val="00E87433"/>
    <w:rsid w:val="00E8790B"/>
    <w:rsid w:val="00E91CEF"/>
    <w:rsid w:val="00E95424"/>
    <w:rsid w:val="00E9572A"/>
    <w:rsid w:val="00E96207"/>
    <w:rsid w:val="00EA11B3"/>
    <w:rsid w:val="00EA3369"/>
    <w:rsid w:val="00EA55B0"/>
    <w:rsid w:val="00EB2C5E"/>
    <w:rsid w:val="00EC354B"/>
    <w:rsid w:val="00EE6E9D"/>
    <w:rsid w:val="00EF340F"/>
    <w:rsid w:val="00F03FD3"/>
    <w:rsid w:val="00F115FC"/>
    <w:rsid w:val="00F17C4F"/>
    <w:rsid w:val="00F24AFC"/>
    <w:rsid w:val="00F36519"/>
    <w:rsid w:val="00F3732B"/>
    <w:rsid w:val="00F45375"/>
    <w:rsid w:val="00F56068"/>
    <w:rsid w:val="00F57BF5"/>
    <w:rsid w:val="00F60C0F"/>
    <w:rsid w:val="00F63ECE"/>
    <w:rsid w:val="00F66628"/>
    <w:rsid w:val="00F76F77"/>
    <w:rsid w:val="00F82564"/>
    <w:rsid w:val="00F863C3"/>
    <w:rsid w:val="00F87B9B"/>
    <w:rsid w:val="00F91295"/>
    <w:rsid w:val="00F94DAE"/>
    <w:rsid w:val="00FA7465"/>
    <w:rsid w:val="00FB0976"/>
    <w:rsid w:val="00FB6B8E"/>
    <w:rsid w:val="00FC11B1"/>
    <w:rsid w:val="00FD3FA1"/>
    <w:rsid w:val="00FE31CA"/>
    <w:rsid w:val="00FE76DA"/>
    <w:rsid w:val="00FE7CBA"/>
    <w:rsid w:val="016B78DF"/>
    <w:rsid w:val="01912B7C"/>
    <w:rsid w:val="01C45DD8"/>
    <w:rsid w:val="025F76B9"/>
    <w:rsid w:val="03B1AD33"/>
    <w:rsid w:val="041DF68F"/>
    <w:rsid w:val="049C3E96"/>
    <w:rsid w:val="061B290F"/>
    <w:rsid w:val="06644F97"/>
    <w:rsid w:val="0685F1CD"/>
    <w:rsid w:val="06C8B6FF"/>
    <w:rsid w:val="07B8C9B4"/>
    <w:rsid w:val="07C73E70"/>
    <w:rsid w:val="08487A7F"/>
    <w:rsid w:val="09935DB4"/>
    <w:rsid w:val="0B040626"/>
    <w:rsid w:val="0B265FFC"/>
    <w:rsid w:val="0B7E8F63"/>
    <w:rsid w:val="0BB64105"/>
    <w:rsid w:val="0C3B610A"/>
    <w:rsid w:val="0C47DD61"/>
    <w:rsid w:val="0CE284C0"/>
    <w:rsid w:val="0D0CE95C"/>
    <w:rsid w:val="0E18B193"/>
    <w:rsid w:val="0E4600E3"/>
    <w:rsid w:val="0E553C26"/>
    <w:rsid w:val="0F6357E7"/>
    <w:rsid w:val="0F8F1A93"/>
    <w:rsid w:val="0FB06ACD"/>
    <w:rsid w:val="1007C86C"/>
    <w:rsid w:val="100BC556"/>
    <w:rsid w:val="107DB3BF"/>
    <w:rsid w:val="1109366D"/>
    <w:rsid w:val="12134171"/>
    <w:rsid w:val="12A8440E"/>
    <w:rsid w:val="136031B9"/>
    <w:rsid w:val="13730D5C"/>
    <w:rsid w:val="13D2924A"/>
    <w:rsid w:val="13DAD258"/>
    <w:rsid w:val="14680CDB"/>
    <w:rsid w:val="156AF082"/>
    <w:rsid w:val="1577DCCA"/>
    <w:rsid w:val="1615D3F5"/>
    <w:rsid w:val="1634F541"/>
    <w:rsid w:val="165A8AD3"/>
    <w:rsid w:val="178392D3"/>
    <w:rsid w:val="188A766A"/>
    <w:rsid w:val="18E7E58D"/>
    <w:rsid w:val="1927A41E"/>
    <w:rsid w:val="196C4D4E"/>
    <w:rsid w:val="1977D8D7"/>
    <w:rsid w:val="1AB573A8"/>
    <w:rsid w:val="1ABB1459"/>
    <w:rsid w:val="1B9ECE6C"/>
    <w:rsid w:val="1C5FD3F8"/>
    <w:rsid w:val="1CCC826D"/>
    <w:rsid w:val="1CE61949"/>
    <w:rsid w:val="1CF7303F"/>
    <w:rsid w:val="1D3907CF"/>
    <w:rsid w:val="1D796C9A"/>
    <w:rsid w:val="1D9CEE01"/>
    <w:rsid w:val="1EECD5B2"/>
    <w:rsid w:val="1F4B5D25"/>
    <w:rsid w:val="1FA312B2"/>
    <w:rsid w:val="1FB99D73"/>
    <w:rsid w:val="1FEFA765"/>
    <w:rsid w:val="20B40B26"/>
    <w:rsid w:val="20C19063"/>
    <w:rsid w:val="217D4FD5"/>
    <w:rsid w:val="21B644D6"/>
    <w:rsid w:val="236F411B"/>
    <w:rsid w:val="23E0996B"/>
    <w:rsid w:val="2465FBFD"/>
    <w:rsid w:val="24D1FD9E"/>
    <w:rsid w:val="24D7BB7A"/>
    <w:rsid w:val="254FD989"/>
    <w:rsid w:val="25E5B5A8"/>
    <w:rsid w:val="2658F541"/>
    <w:rsid w:val="26BE6828"/>
    <w:rsid w:val="26CE6841"/>
    <w:rsid w:val="2709128E"/>
    <w:rsid w:val="282F23FC"/>
    <w:rsid w:val="2980D004"/>
    <w:rsid w:val="2A79F114"/>
    <w:rsid w:val="2AA204F4"/>
    <w:rsid w:val="2C577EDE"/>
    <w:rsid w:val="2CA79016"/>
    <w:rsid w:val="2CF4C22E"/>
    <w:rsid w:val="2D821F61"/>
    <w:rsid w:val="2D8BA762"/>
    <w:rsid w:val="2DCB91B9"/>
    <w:rsid w:val="2E2DAD12"/>
    <w:rsid w:val="2E63B17B"/>
    <w:rsid w:val="2F0733C2"/>
    <w:rsid w:val="2FFCF7AE"/>
    <w:rsid w:val="3070C237"/>
    <w:rsid w:val="3084BF8A"/>
    <w:rsid w:val="30E3B9A2"/>
    <w:rsid w:val="31FD5852"/>
    <w:rsid w:val="32047862"/>
    <w:rsid w:val="32329BC3"/>
    <w:rsid w:val="32D3CC35"/>
    <w:rsid w:val="331D71B5"/>
    <w:rsid w:val="341A5441"/>
    <w:rsid w:val="343BD192"/>
    <w:rsid w:val="34E13B82"/>
    <w:rsid w:val="3617EAB7"/>
    <w:rsid w:val="3634C824"/>
    <w:rsid w:val="36B3DD25"/>
    <w:rsid w:val="36D45C71"/>
    <w:rsid w:val="3746286E"/>
    <w:rsid w:val="379F6529"/>
    <w:rsid w:val="37A5E44A"/>
    <w:rsid w:val="3815E576"/>
    <w:rsid w:val="38C809A3"/>
    <w:rsid w:val="3937914C"/>
    <w:rsid w:val="3B30605D"/>
    <w:rsid w:val="3B494C93"/>
    <w:rsid w:val="3B9486D1"/>
    <w:rsid w:val="3C45F088"/>
    <w:rsid w:val="3C5E7B8F"/>
    <w:rsid w:val="3C894724"/>
    <w:rsid w:val="3CBFE0ED"/>
    <w:rsid w:val="3CE11288"/>
    <w:rsid w:val="3D3245BF"/>
    <w:rsid w:val="3D6DA166"/>
    <w:rsid w:val="3D7457E0"/>
    <w:rsid w:val="3DA1411A"/>
    <w:rsid w:val="3DCB5FE7"/>
    <w:rsid w:val="3DE9C68B"/>
    <w:rsid w:val="3E29142B"/>
    <w:rsid w:val="3E63BE84"/>
    <w:rsid w:val="3F37C0B0"/>
    <w:rsid w:val="40857A40"/>
    <w:rsid w:val="40D98E6D"/>
    <w:rsid w:val="411EE00E"/>
    <w:rsid w:val="422491A8"/>
    <w:rsid w:val="42ADA5E5"/>
    <w:rsid w:val="430AF244"/>
    <w:rsid w:val="437B396F"/>
    <w:rsid w:val="4405B0A2"/>
    <w:rsid w:val="44FE3EB3"/>
    <w:rsid w:val="451A2C10"/>
    <w:rsid w:val="4673C073"/>
    <w:rsid w:val="4733B6F6"/>
    <w:rsid w:val="473E39A4"/>
    <w:rsid w:val="47A4DDF8"/>
    <w:rsid w:val="47B2F97A"/>
    <w:rsid w:val="486EC4FB"/>
    <w:rsid w:val="48AB0239"/>
    <w:rsid w:val="4940BD7C"/>
    <w:rsid w:val="4A21E460"/>
    <w:rsid w:val="4CF4F41E"/>
    <w:rsid w:val="4D15A761"/>
    <w:rsid w:val="4D16BA2F"/>
    <w:rsid w:val="4E6BF371"/>
    <w:rsid w:val="4F907981"/>
    <w:rsid w:val="4F9F8E84"/>
    <w:rsid w:val="50BAF474"/>
    <w:rsid w:val="50C3DE5D"/>
    <w:rsid w:val="513AC8EF"/>
    <w:rsid w:val="519DC0E2"/>
    <w:rsid w:val="51C01649"/>
    <w:rsid w:val="527B8ADA"/>
    <w:rsid w:val="540FBF13"/>
    <w:rsid w:val="5460624D"/>
    <w:rsid w:val="54664F19"/>
    <w:rsid w:val="555AA3DD"/>
    <w:rsid w:val="55A08921"/>
    <w:rsid w:val="55D521A5"/>
    <w:rsid w:val="562034A3"/>
    <w:rsid w:val="566F9E20"/>
    <w:rsid w:val="56A77DD0"/>
    <w:rsid w:val="5744F43E"/>
    <w:rsid w:val="57602A41"/>
    <w:rsid w:val="579235EA"/>
    <w:rsid w:val="58150EB0"/>
    <w:rsid w:val="58C5AF27"/>
    <w:rsid w:val="59512D92"/>
    <w:rsid w:val="5A18E41A"/>
    <w:rsid w:val="5ADE9D0A"/>
    <w:rsid w:val="5BCE6F7E"/>
    <w:rsid w:val="5C11B10C"/>
    <w:rsid w:val="5CF4B636"/>
    <w:rsid w:val="5D6A1464"/>
    <w:rsid w:val="5DEB3931"/>
    <w:rsid w:val="5DF05C78"/>
    <w:rsid w:val="5E57A76A"/>
    <w:rsid w:val="5F02068E"/>
    <w:rsid w:val="61219FED"/>
    <w:rsid w:val="6172A51E"/>
    <w:rsid w:val="61F310BB"/>
    <w:rsid w:val="63BAB66D"/>
    <w:rsid w:val="63E26A31"/>
    <w:rsid w:val="640865D7"/>
    <w:rsid w:val="646AF552"/>
    <w:rsid w:val="64A9C06C"/>
    <w:rsid w:val="64D61DDF"/>
    <w:rsid w:val="64F30FE3"/>
    <w:rsid w:val="64F97731"/>
    <w:rsid w:val="658077ED"/>
    <w:rsid w:val="67145962"/>
    <w:rsid w:val="672C6C29"/>
    <w:rsid w:val="6795C3AE"/>
    <w:rsid w:val="6829D3A6"/>
    <w:rsid w:val="699F745B"/>
    <w:rsid w:val="6A728EFC"/>
    <w:rsid w:val="6AB9DEB6"/>
    <w:rsid w:val="6CA646BE"/>
    <w:rsid w:val="6D9C4F61"/>
    <w:rsid w:val="6E036791"/>
    <w:rsid w:val="6F2479C4"/>
    <w:rsid w:val="6F33BBFC"/>
    <w:rsid w:val="6F9F5109"/>
    <w:rsid w:val="706BEF79"/>
    <w:rsid w:val="70E95ECB"/>
    <w:rsid w:val="71764E02"/>
    <w:rsid w:val="725F7DB2"/>
    <w:rsid w:val="73737D3D"/>
    <w:rsid w:val="73E0E200"/>
    <w:rsid w:val="74B8C790"/>
    <w:rsid w:val="74CB29CB"/>
    <w:rsid w:val="75BA692D"/>
    <w:rsid w:val="75CAF4C5"/>
    <w:rsid w:val="764E338A"/>
    <w:rsid w:val="76501435"/>
    <w:rsid w:val="76D01FF6"/>
    <w:rsid w:val="77BF804D"/>
    <w:rsid w:val="77D5662E"/>
    <w:rsid w:val="783973BB"/>
    <w:rsid w:val="78AAE6D3"/>
    <w:rsid w:val="7921C4E6"/>
    <w:rsid w:val="7968E392"/>
    <w:rsid w:val="79C208BB"/>
    <w:rsid w:val="7AD5519E"/>
    <w:rsid w:val="7B082EE0"/>
    <w:rsid w:val="7B44CC1C"/>
    <w:rsid w:val="7B5F89F9"/>
    <w:rsid w:val="7C57AF30"/>
    <w:rsid w:val="7CA6AE77"/>
    <w:rsid w:val="7D24720A"/>
    <w:rsid w:val="7D90409C"/>
    <w:rsid w:val="7F84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9353F"/>
  <w15:chartTrackingRefBased/>
  <w15:docId w15:val="{D5C02531-9DD6-44D0-A319-7235EF6E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3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1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56A"/>
  </w:style>
  <w:style w:type="paragraph" w:styleId="Footer">
    <w:name w:val="footer"/>
    <w:basedOn w:val="Normal"/>
    <w:link w:val="FooterChar"/>
    <w:uiPriority w:val="99"/>
    <w:unhideWhenUsed/>
    <w:rsid w:val="00C2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56A"/>
  </w:style>
  <w:style w:type="character" w:styleId="Hyperlink">
    <w:name w:val="Hyperlink"/>
    <w:basedOn w:val="DefaultParagraphFont"/>
    <w:uiPriority w:val="99"/>
    <w:unhideWhenUsed/>
    <w:rsid w:val="00B90B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B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D3091"/>
    <w:rPr>
      <w:b/>
      <w:bCs/>
    </w:rPr>
  </w:style>
  <w:style w:type="character" w:customStyle="1" w:styleId="apple-converted-space">
    <w:name w:val="apple-converted-space"/>
    <w:basedOn w:val="DefaultParagraphFont"/>
    <w:rsid w:val="007D3091"/>
  </w:style>
  <w:style w:type="paragraph" w:styleId="NormalWeb">
    <w:name w:val="Normal (Web)"/>
    <w:basedOn w:val="Normal"/>
    <w:uiPriority w:val="99"/>
    <w:semiHidden/>
    <w:unhideWhenUsed/>
    <w:rsid w:val="00FA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115D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1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53A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53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3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6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F09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7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dc.gov/infection-control/hcp/measles/?CDC_AAref_Val=https://www.cdc.gov/infectioncontrol/guidelines/measles/index.html" TargetMode="External"/><Relationship Id="rId21" Type="http://schemas.openxmlformats.org/officeDocument/2006/relationships/image" Target="media/image5.png"/><Relationship Id="rId42" Type="http://schemas.openxmlformats.org/officeDocument/2006/relationships/hyperlink" Target="https://www.osha.gov/measles/hazards" TargetMode="External"/><Relationship Id="rId47" Type="http://schemas.openxmlformats.org/officeDocument/2006/relationships/hyperlink" Target="https://www.osha.gov/measles/hazards" TargetMode="External"/><Relationship Id="rId63" Type="http://schemas.openxmlformats.org/officeDocument/2006/relationships/hyperlink" Target="https://www.health.state.mn.us/diseases/measles/hcp/control.html" TargetMode="External"/><Relationship Id="rId68" Type="http://schemas.openxmlformats.org/officeDocument/2006/relationships/hyperlink" Target="https://www.cdc.gov/vaccines/vpd/mmr/public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measles/data-research/index.html" TargetMode="External"/><Relationship Id="rId29" Type="http://schemas.openxmlformats.org/officeDocument/2006/relationships/hyperlink" Target="https://www.cdc.gov/measles/hcp/clinical-overview/?CDC_AAref_Val=https://www.cdc.gov/measles/hcp/index.html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cdc.gov/global-measles-vaccination/data-research/global-measles-outbreaks/index.html" TargetMode="External"/><Relationship Id="rId32" Type="http://schemas.openxmlformats.org/officeDocument/2006/relationships/hyperlink" Target="https://www.ninds.nih.gov/health-information/disorders/subacute-sclerosing-panencephalitis" TargetMode="External"/><Relationship Id="rId37" Type="http://schemas.openxmlformats.org/officeDocument/2006/relationships/hyperlink" Target="https://www.cdc.gov/infection-control/hcp/measles/?CDC_AAref_Val=https://www.cdc.gov/infectioncontrol/guidelines/measles/index.html" TargetMode="External"/><Relationship Id="rId40" Type="http://schemas.openxmlformats.org/officeDocument/2006/relationships/hyperlink" Target="https://www.cdc.gov/infection-control/hcp/environmental-control/appendix-b-air.html" TargetMode="External"/><Relationship Id="rId45" Type="http://schemas.openxmlformats.org/officeDocument/2006/relationships/hyperlink" Target="https://www.cdc.gov/infection-control/hcp/environmental-control/laundry-bedding.html?utm_source=chatgpt.com" TargetMode="External"/><Relationship Id="rId53" Type="http://schemas.openxmlformats.org/officeDocument/2006/relationships/hyperlink" Target="https://www.osha.gov/coronavirus/control-prevention/postmortem-care" TargetMode="External"/><Relationship Id="rId58" Type="http://schemas.openxmlformats.org/officeDocument/2006/relationships/hyperlink" Target="https://www.cdc.gov/measles/hcp/vaccine-considerations/index.html" TargetMode="External"/><Relationship Id="rId66" Type="http://schemas.openxmlformats.org/officeDocument/2006/relationships/hyperlink" Target="https://doh.wa.gov/sites/default/files/legacy/Documents/5100/420-063-Guideline-Measles.pdf" TargetMode="External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www.immunize.org/?s=measles" TargetMode="External"/><Relationship Id="rId19" Type="http://schemas.openxmlformats.org/officeDocument/2006/relationships/image" Target="media/image3.png"/><Relationship Id="rId14" Type="http://schemas.openxmlformats.org/officeDocument/2006/relationships/hyperlink" Target="https://www.latimes.com/california/story/2024-12-06/measles-case-reported-at-lax-orange-county-childrens-hospital-who-is-at-risk" TargetMode="External"/><Relationship Id="rId22" Type="http://schemas.openxmlformats.org/officeDocument/2006/relationships/hyperlink" Target="https://www.canada.ca/en/public-health/services/diseases/measles/health-professionals-measles.html" TargetMode="External"/><Relationship Id="rId27" Type="http://schemas.openxmlformats.org/officeDocument/2006/relationships/hyperlink" Target="https://www.cdc.gov/infection-control/hcp/environmental-control/appendix-b-air.html" TargetMode="External"/><Relationship Id="rId30" Type="http://schemas.openxmlformats.org/officeDocument/2006/relationships/hyperlink" Target="https://www.cdc.gov/measles/hcp/clinical-overview/?CDC_AAref_Val=https://www.cdc.gov/measles/hcp/index.html" TargetMode="External"/><Relationship Id="rId35" Type="http://schemas.openxmlformats.org/officeDocument/2006/relationships/hyperlink" Target="https://www.cdc.gov/infection-control/hcp/measles/?CDC_AAref_Val=https://www.cdc.gov/infectioncontrol/guidelines/measles/index.html" TargetMode="External"/><Relationship Id="rId43" Type="http://schemas.openxmlformats.org/officeDocument/2006/relationships/hyperlink" Target="https://www.cdc.gov/measles/hcp/clinical-overview/?CDC_AAref_Val=https://www.cdc.gov/measles/hcp/index.html" TargetMode="External"/><Relationship Id="rId48" Type="http://schemas.openxmlformats.org/officeDocument/2006/relationships/hyperlink" Target="https://www.cdc.gov/infection-control/media/pdfs/guideline-measles-interim-ic-recs-h.pdf?CDC_AAref_Val=https://www.cdc.gov/infectioncontrol/pdf/guidelines/Measles-Interim-IC-Recs-H.pdf" TargetMode="External"/><Relationship Id="rId56" Type="http://schemas.openxmlformats.org/officeDocument/2006/relationships/hyperlink" Target="https://www.cdc.gov/infection-control/hcp/measles/?CDC_AAref_Val=https://www.cdc.gov/infectioncontrol/guidelines/measles/index.html" TargetMode="External"/><Relationship Id="rId64" Type="http://schemas.openxmlformats.org/officeDocument/2006/relationships/hyperlink" Target="https://www.health.state.mn.us/diseases/measles/hcp/control.html" TargetMode="External"/><Relationship Id="rId69" Type="http://schemas.openxmlformats.org/officeDocument/2006/relationships/hyperlink" Target="https://www.health.state.mn.us/diseases/measles/hcp/control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osha.gov/laws-regs/regulations/standardnumber/1910/1910.134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dshs.texas.gov/news-alerts/texas-announces-first-death-measles-outbreak" TargetMode="External"/><Relationship Id="rId17" Type="http://schemas.openxmlformats.org/officeDocument/2006/relationships/hyperlink" Target="https://www.cdc.gov/measles/hcp/clinical-overview/?CDC_AAref_Val=https://www.cdc.gov/measles/hcp/index.html" TargetMode="External"/><Relationship Id="rId25" Type="http://schemas.openxmlformats.org/officeDocument/2006/relationships/hyperlink" Target="https://www.cdc.gov/measles/data-research/index.html" TargetMode="External"/><Relationship Id="rId33" Type="http://schemas.openxmlformats.org/officeDocument/2006/relationships/hyperlink" Target="https://www.cdc.gov/infection-control/hcp/measles/?CDC_AAref_Val=https://www.cdc.gov/infectioncontrol/guidelines/measles/index.html" TargetMode="External"/><Relationship Id="rId38" Type="http://schemas.openxmlformats.org/officeDocument/2006/relationships/hyperlink" Target="https://www.cdc.gov/infection-control/hcp/measles/?CDC_AAref_Val=https://www.cdc.gov/infectioncontrol/guidelines/measles/index.html" TargetMode="External"/><Relationship Id="rId46" Type="http://schemas.openxmlformats.org/officeDocument/2006/relationships/hyperlink" Target="https://www.albertahealthservices.ca/assets/healthinfo/ipc/hi-ipc-emerging-issues-measles.pdf?utm_source=chatgpt.com" TargetMode="External"/><Relationship Id="rId59" Type="http://schemas.openxmlformats.org/officeDocument/2006/relationships/hyperlink" Target="https://www.health.state.mn.us/diseases/measles/hcp/control.html" TargetMode="External"/><Relationship Id="rId67" Type="http://schemas.openxmlformats.org/officeDocument/2006/relationships/hyperlink" Target="https://www.health.state.mn.us/people/immunize/basics/hcpvax.html" TargetMode="External"/><Relationship Id="rId20" Type="http://schemas.openxmlformats.org/officeDocument/2006/relationships/image" Target="media/image4.png"/><Relationship Id="rId41" Type="http://schemas.openxmlformats.org/officeDocument/2006/relationships/hyperlink" Target="https://www.cdc.gov/infection-control/hcp/measles/?CDC_AAref_Val=https://www.cdc.gov/infectioncontrol/guidelines/measles/index.html" TargetMode="External"/><Relationship Id="rId54" Type="http://schemas.openxmlformats.org/officeDocument/2006/relationships/hyperlink" Target="https://dcs.az.gov/sites/default/files/ER-Inpatient-Discharge-Instructions-for-Suspected-Measles-Patients-ADHS.pdf" TargetMode="External"/><Relationship Id="rId62" Type="http://schemas.openxmlformats.org/officeDocument/2006/relationships/hyperlink" Target="https://www.health.state.mn.us/diseases/measles/hcp/control.html" TargetMode="External"/><Relationship Id="rId70" Type="http://schemas.openxmlformats.org/officeDocument/2006/relationships/hyperlink" Target="https://www.cdc.gov/measles/hcp/communication-resources/clinical-diagnosis-fact-sheet.html" TargetMode="External"/><Relationship Id="rId75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dc.gov/measles/data-research/index.html" TargetMode="External"/><Relationship Id="rId23" Type="http://schemas.openxmlformats.org/officeDocument/2006/relationships/hyperlink" Target="https://www.cdc.gov/measles/hcp/clinical-overview/?CDC_AAref_Val=https://www.cdc.gov/measles/hcp/index.html" TargetMode="External"/><Relationship Id="rId28" Type="http://schemas.openxmlformats.org/officeDocument/2006/relationships/hyperlink" Target="https://www.cdc.gov/measles/hcp/clinical-overview/?CDC_AAref_Val=https://www.cdc.gov/measles/hcp/index.html" TargetMode="External"/><Relationship Id="rId36" Type="http://schemas.openxmlformats.org/officeDocument/2006/relationships/hyperlink" Target="https://www.cdc.gov/infection-control/hcp/measles/?CDC_AAref_Val=https://www.cdc.gov/infectioncontrol/guidelines/measles/index.html" TargetMode="External"/><Relationship Id="rId49" Type="http://schemas.openxmlformats.org/officeDocument/2006/relationships/hyperlink" Target="https://www.cdc.gov/infection-control/media/pdfs/guideline-measles-interim-ic-recs-h.pdf?CDC_AAref_Val=https://www.cdc.gov/infectioncontrol/pdf/guidelines/Measles-Interim-IC-Recs-H.pdf" TargetMode="External"/><Relationship Id="rId57" Type="http://schemas.openxmlformats.org/officeDocument/2006/relationships/hyperlink" Target="https://www.cdc.gov/infection-control/hcp/environmental-control/appendix-b-air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emergency.cdc.gov/agent/agentlist-category.asp" TargetMode="External"/><Relationship Id="rId44" Type="http://schemas.openxmlformats.org/officeDocument/2006/relationships/hyperlink" Target="https://www.cdc.gov/infection-control/hcp/measles/index.html" TargetMode="External"/><Relationship Id="rId52" Type="http://schemas.openxmlformats.org/officeDocument/2006/relationships/hyperlink" Target="https://www.hss.gov.nt.ca/professionals/sites/professionals/files/resources/cpi-82-nwt-infection-contro-policy-procedures-care-deceased-infectious-disease.pdf" TargetMode="External"/><Relationship Id="rId60" Type="http://schemas.openxmlformats.org/officeDocument/2006/relationships/hyperlink" Target="https://www.immunize.org/?s=measles" TargetMode="External"/><Relationship Id="rId65" Type="http://schemas.openxmlformats.org/officeDocument/2006/relationships/hyperlink" Target="https://www.health.state.mn.us/diseases/measles/hcp/control.html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nmhealth.org/about/erd/ideb/mog/" TargetMode="External"/><Relationship Id="rId18" Type="http://schemas.openxmlformats.org/officeDocument/2006/relationships/image" Target="media/image2.jpeg"/><Relationship Id="rId39" Type="http://schemas.openxmlformats.org/officeDocument/2006/relationships/hyperlink" Target="https://www.cdc.gov/infection-control/hcp/measles/?CDC_AAref_Val=https://www.cdc.gov/infectioncontrol/guidelines/measles/index.html" TargetMode="External"/><Relationship Id="rId34" Type="http://schemas.openxmlformats.org/officeDocument/2006/relationships/hyperlink" Target="https://www.cdc.gov/infection-control/hcp/measles/index.html" TargetMode="External"/><Relationship Id="rId50" Type="http://schemas.openxmlformats.org/officeDocument/2006/relationships/hyperlink" Target="https://www.osha.gov/laws-regs/standardinterpretations/2004-02-05" TargetMode="External"/><Relationship Id="rId55" Type="http://schemas.openxmlformats.org/officeDocument/2006/relationships/hyperlink" Target="http://publichealth.lacounty.gov/ip/Docs/Measles%20Checklist%20for%20Clinicians_05%2730%272019%20(002).pdf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apicadmin.sharepoint.com/sites/EmergingPathogensMonkeyPoxResponseTeam/Shared%20Documents/General/2025/Playbook%20Topics/Measles/1.%09https:/www.canada.ca/en/public-health/services/diseases/measles/health-professionals-measles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PI@ap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B4CE76D5A564C823A0434529FB3FD" ma:contentTypeVersion="10" ma:contentTypeDescription="Create a new document." ma:contentTypeScope="" ma:versionID="c9ca3a7d63ecb93fecad5caa27e69257">
  <xsd:schema xmlns:xsd="http://www.w3.org/2001/XMLSchema" xmlns:xs="http://www.w3.org/2001/XMLSchema" xmlns:p="http://schemas.microsoft.com/office/2006/metadata/properties" xmlns:ns2="a70bedca-f055-43d0-977a-fe2d7fe32b43" xmlns:ns3="a335855c-48d9-4887-a5c8-e6b0807cd4ac" targetNamespace="http://schemas.microsoft.com/office/2006/metadata/properties" ma:root="true" ma:fieldsID="59433c19fd2b2740ae6c2f55c652d435" ns2:_="" ns3:_="">
    <xsd:import namespace="a70bedca-f055-43d0-977a-fe2d7fe32b43"/>
    <xsd:import namespace="a335855c-48d9-4887-a5c8-e6b0807cd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bedca-f055-43d0-977a-fe2d7fe32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5855c-48d9-4887-a5c8-e6b0807cd4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A4F76-3A5D-4DA5-98B0-383CB89C0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E2EE5-28DA-401B-836A-5900FFCA29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CCC92-B407-46EE-8513-E756CB85A9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500A3-F445-4B67-A813-FC25983D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bedca-f055-43d0-977a-fe2d7fe32b43"/>
    <ds:schemaRef ds:uri="a335855c-48d9-4887-a5c8-e6b0807cd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4835</Words>
  <Characters>27563</Characters>
  <Application>Microsoft Office Word</Application>
  <DocSecurity>0</DocSecurity>
  <Lines>229</Lines>
  <Paragraphs>64</Paragraphs>
  <ScaleCrop>false</ScaleCrop>
  <Company>HCA</Company>
  <LinksUpToDate>false</LinksUpToDate>
  <CharactersWithSpaces>32334</CharactersWithSpaces>
  <SharedDoc>false</SharedDoc>
  <HLinks>
    <vt:vector size="354" baseType="variant">
      <vt:variant>
        <vt:i4>7995447</vt:i4>
      </vt:variant>
      <vt:variant>
        <vt:i4>174</vt:i4>
      </vt:variant>
      <vt:variant>
        <vt:i4>0</vt:i4>
      </vt:variant>
      <vt:variant>
        <vt:i4>5</vt:i4>
      </vt:variant>
      <vt:variant>
        <vt:lpwstr>1.%09https:/www.canada.ca/en/public-health/services/diseases/measles/health-professionals-measles.html</vt:lpwstr>
      </vt:variant>
      <vt:variant>
        <vt:lpwstr/>
      </vt:variant>
      <vt:variant>
        <vt:i4>2883634</vt:i4>
      </vt:variant>
      <vt:variant>
        <vt:i4>171</vt:i4>
      </vt:variant>
      <vt:variant>
        <vt:i4>0</vt:i4>
      </vt:variant>
      <vt:variant>
        <vt:i4>5</vt:i4>
      </vt:variant>
      <vt:variant>
        <vt:lpwstr>https://www.cdc.gov/measles/hcp/communication-resources/clinical-diagnosis-fact-sheet.html</vt:lpwstr>
      </vt:variant>
      <vt:variant>
        <vt:lpwstr/>
      </vt:variant>
      <vt:variant>
        <vt:i4>6357110</vt:i4>
      </vt:variant>
      <vt:variant>
        <vt:i4>168</vt:i4>
      </vt:variant>
      <vt:variant>
        <vt:i4>0</vt:i4>
      </vt:variant>
      <vt:variant>
        <vt:i4>5</vt:i4>
      </vt:variant>
      <vt:variant>
        <vt:lpwstr>https://www.health.state.mn.us/diseases/measles/hcp/control.html</vt:lpwstr>
      </vt:variant>
      <vt:variant>
        <vt:lpwstr>NaN</vt:lpwstr>
      </vt:variant>
      <vt:variant>
        <vt:i4>3735664</vt:i4>
      </vt:variant>
      <vt:variant>
        <vt:i4>162</vt:i4>
      </vt:variant>
      <vt:variant>
        <vt:i4>0</vt:i4>
      </vt:variant>
      <vt:variant>
        <vt:i4>5</vt:i4>
      </vt:variant>
      <vt:variant>
        <vt:lpwstr>https://www.cdc.gov/vaccines/vpd/mmr/public/index.html</vt:lpwstr>
      </vt:variant>
      <vt:variant>
        <vt:lpwstr/>
      </vt:variant>
      <vt:variant>
        <vt:i4>1245214</vt:i4>
      </vt:variant>
      <vt:variant>
        <vt:i4>159</vt:i4>
      </vt:variant>
      <vt:variant>
        <vt:i4>0</vt:i4>
      </vt:variant>
      <vt:variant>
        <vt:i4>5</vt:i4>
      </vt:variant>
      <vt:variant>
        <vt:lpwstr>https://www.health.state.mn.us/people/immunize/basics/hcpvax.html</vt:lpwstr>
      </vt:variant>
      <vt:variant>
        <vt:lpwstr/>
      </vt:variant>
      <vt:variant>
        <vt:i4>2687025</vt:i4>
      </vt:variant>
      <vt:variant>
        <vt:i4>156</vt:i4>
      </vt:variant>
      <vt:variant>
        <vt:i4>0</vt:i4>
      </vt:variant>
      <vt:variant>
        <vt:i4>5</vt:i4>
      </vt:variant>
      <vt:variant>
        <vt:lpwstr>https://doh.wa.gov/sites/default/files/legacy/Documents/5100/420-063-Guideline-Measles.pdf</vt:lpwstr>
      </vt:variant>
      <vt:variant>
        <vt:lpwstr/>
      </vt:variant>
      <vt:variant>
        <vt:i4>6488176</vt:i4>
      </vt:variant>
      <vt:variant>
        <vt:i4>153</vt:i4>
      </vt:variant>
      <vt:variant>
        <vt:i4>0</vt:i4>
      </vt:variant>
      <vt:variant>
        <vt:i4>5</vt:i4>
      </vt:variant>
      <vt:variant>
        <vt:lpwstr>https://www.health.state.mn.us/diseases/measles/hcp/control.html</vt:lpwstr>
      </vt:variant>
      <vt:variant>
        <vt:lpwstr>hcw</vt:lpwstr>
      </vt:variant>
      <vt:variant>
        <vt:i4>6488176</vt:i4>
      </vt:variant>
      <vt:variant>
        <vt:i4>150</vt:i4>
      </vt:variant>
      <vt:variant>
        <vt:i4>0</vt:i4>
      </vt:variant>
      <vt:variant>
        <vt:i4>5</vt:i4>
      </vt:variant>
      <vt:variant>
        <vt:lpwstr>https://www.health.state.mn.us/diseases/measles/hcp/control.html</vt:lpwstr>
      </vt:variant>
      <vt:variant>
        <vt:lpwstr>hcw</vt:lpwstr>
      </vt:variant>
      <vt:variant>
        <vt:i4>6488176</vt:i4>
      </vt:variant>
      <vt:variant>
        <vt:i4>147</vt:i4>
      </vt:variant>
      <vt:variant>
        <vt:i4>0</vt:i4>
      </vt:variant>
      <vt:variant>
        <vt:i4>5</vt:i4>
      </vt:variant>
      <vt:variant>
        <vt:lpwstr>https://www.health.state.mn.us/diseases/measles/hcp/control.html</vt:lpwstr>
      </vt:variant>
      <vt:variant>
        <vt:lpwstr>hcw</vt:lpwstr>
      </vt:variant>
      <vt:variant>
        <vt:i4>6488176</vt:i4>
      </vt:variant>
      <vt:variant>
        <vt:i4>144</vt:i4>
      </vt:variant>
      <vt:variant>
        <vt:i4>0</vt:i4>
      </vt:variant>
      <vt:variant>
        <vt:i4>5</vt:i4>
      </vt:variant>
      <vt:variant>
        <vt:lpwstr>https://www.health.state.mn.us/diseases/measles/hcp/control.html</vt:lpwstr>
      </vt:variant>
      <vt:variant>
        <vt:lpwstr>hcw</vt:lpwstr>
      </vt:variant>
      <vt:variant>
        <vt:i4>2424880</vt:i4>
      </vt:variant>
      <vt:variant>
        <vt:i4>141</vt:i4>
      </vt:variant>
      <vt:variant>
        <vt:i4>0</vt:i4>
      </vt:variant>
      <vt:variant>
        <vt:i4>5</vt:i4>
      </vt:variant>
      <vt:variant>
        <vt:lpwstr>https://www.immunize.org/?s=measles</vt:lpwstr>
      </vt:variant>
      <vt:variant>
        <vt:lpwstr/>
      </vt:variant>
      <vt:variant>
        <vt:i4>2424880</vt:i4>
      </vt:variant>
      <vt:variant>
        <vt:i4>138</vt:i4>
      </vt:variant>
      <vt:variant>
        <vt:i4>0</vt:i4>
      </vt:variant>
      <vt:variant>
        <vt:i4>5</vt:i4>
      </vt:variant>
      <vt:variant>
        <vt:lpwstr>https://www.immunize.org/?s=measles</vt:lpwstr>
      </vt:variant>
      <vt:variant>
        <vt:lpwstr/>
      </vt:variant>
      <vt:variant>
        <vt:i4>6357110</vt:i4>
      </vt:variant>
      <vt:variant>
        <vt:i4>135</vt:i4>
      </vt:variant>
      <vt:variant>
        <vt:i4>0</vt:i4>
      </vt:variant>
      <vt:variant>
        <vt:i4>5</vt:i4>
      </vt:variant>
      <vt:variant>
        <vt:lpwstr>https://www.health.state.mn.us/diseases/measles/hcp/control.html</vt:lpwstr>
      </vt:variant>
      <vt:variant>
        <vt:lpwstr>NaN</vt:lpwstr>
      </vt:variant>
      <vt:variant>
        <vt:i4>65626</vt:i4>
      </vt:variant>
      <vt:variant>
        <vt:i4>132</vt:i4>
      </vt:variant>
      <vt:variant>
        <vt:i4>0</vt:i4>
      </vt:variant>
      <vt:variant>
        <vt:i4>5</vt:i4>
      </vt:variant>
      <vt:variant>
        <vt:lpwstr>https://www.cdc.gov/measles/hcp/vaccine-considerations/index.html</vt:lpwstr>
      </vt:variant>
      <vt:variant>
        <vt:lpwstr/>
      </vt:variant>
      <vt:variant>
        <vt:i4>6881397</vt:i4>
      </vt:variant>
      <vt:variant>
        <vt:i4>129</vt:i4>
      </vt:variant>
      <vt:variant>
        <vt:i4>0</vt:i4>
      </vt:variant>
      <vt:variant>
        <vt:i4>5</vt:i4>
      </vt:variant>
      <vt:variant>
        <vt:lpwstr>https://www.cdc.gov/infection-control/hcp/environmental-control/appendix-b-air.html</vt:lpwstr>
      </vt:variant>
      <vt:variant>
        <vt:lpwstr/>
      </vt:variant>
      <vt:variant>
        <vt:i4>3735589</vt:i4>
      </vt:variant>
      <vt:variant>
        <vt:i4>126</vt:i4>
      </vt:variant>
      <vt:variant>
        <vt:i4>0</vt:i4>
      </vt:variant>
      <vt:variant>
        <vt:i4>5</vt:i4>
      </vt:variant>
      <vt:variant>
        <vt:lpwstr>https://www.cdc.gov/infection-control/hcp/measles/?CDC_AAref_Val=https://www.cdc.gov/infectioncontrol/guidelines/measles/index.html</vt:lpwstr>
      </vt:variant>
      <vt:variant>
        <vt:lpwstr/>
      </vt:variant>
      <vt:variant>
        <vt:i4>1376314</vt:i4>
      </vt:variant>
      <vt:variant>
        <vt:i4>123</vt:i4>
      </vt:variant>
      <vt:variant>
        <vt:i4>0</vt:i4>
      </vt:variant>
      <vt:variant>
        <vt:i4>5</vt:i4>
      </vt:variant>
      <vt:variant>
        <vt:lpwstr>http://publichealth.lacounty.gov/ip/Docs/Measles Checklist for Clinicians_05%2730%272019 (002).pdf</vt:lpwstr>
      </vt:variant>
      <vt:variant>
        <vt:lpwstr/>
      </vt:variant>
      <vt:variant>
        <vt:i4>3735612</vt:i4>
      </vt:variant>
      <vt:variant>
        <vt:i4>120</vt:i4>
      </vt:variant>
      <vt:variant>
        <vt:i4>0</vt:i4>
      </vt:variant>
      <vt:variant>
        <vt:i4>5</vt:i4>
      </vt:variant>
      <vt:variant>
        <vt:lpwstr>https://dcs.az.gov/sites/default/files/ER-Inpatient-Discharge-Instructions-for-Suspected-Measles-Patients-ADHS.pdf</vt:lpwstr>
      </vt:variant>
      <vt:variant>
        <vt:lpwstr/>
      </vt:variant>
      <vt:variant>
        <vt:i4>6815866</vt:i4>
      </vt:variant>
      <vt:variant>
        <vt:i4>114</vt:i4>
      </vt:variant>
      <vt:variant>
        <vt:i4>0</vt:i4>
      </vt:variant>
      <vt:variant>
        <vt:i4>5</vt:i4>
      </vt:variant>
      <vt:variant>
        <vt:lpwstr>https://www.osha.gov/coronavirus/control-prevention/postmortem-care</vt:lpwstr>
      </vt:variant>
      <vt:variant>
        <vt:lpwstr/>
      </vt:variant>
      <vt:variant>
        <vt:i4>6684779</vt:i4>
      </vt:variant>
      <vt:variant>
        <vt:i4>111</vt:i4>
      </vt:variant>
      <vt:variant>
        <vt:i4>0</vt:i4>
      </vt:variant>
      <vt:variant>
        <vt:i4>5</vt:i4>
      </vt:variant>
      <vt:variant>
        <vt:lpwstr>https://www.hss.gov.nt.ca/professionals/sites/professionals/files/resources/cpi-82-nwt-infection-contro-policy-procedures-care-deceased-infectious-disease.pdf</vt:lpwstr>
      </vt:variant>
      <vt:variant>
        <vt:lpwstr/>
      </vt:variant>
      <vt:variant>
        <vt:i4>2293813</vt:i4>
      </vt:variant>
      <vt:variant>
        <vt:i4>108</vt:i4>
      </vt:variant>
      <vt:variant>
        <vt:i4>0</vt:i4>
      </vt:variant>
      <vt:variant>
        <vt:i4>5</vt:i4>
      </vt:variant>
      <vt:variant>
        <vt:lpwstr>https://www.osha.gov/laws-regs/regulations/standardnumber/1910/1910.134</vt:lpwstr>
      </vt:variant>
      <vt:variant>
        <vt:lpwstr/>
      </vt:variant>
      <vt:variant>
        <vt:i4>4390992</vt:i4>
      </vt:variant>
      <vt:variant>
        <vt:i4>105</vt:i4>
      </vt:variant>
      <vt:variant>
        <vt:i4>0</vt:i4>
      </vt:variant>
      <vt:variant>
        <vt:i4>5</vt:i4>
      </vt:variant>
      <vt:variant>
        <vt:lpwstr>https://www.osha.gov/laws-regs/standardinterpretations/2004-02-05</vt:lpwstr>
      </vt:variant>
      <vt:variant>
        <vt:lpwstr/>
      </vt:variant>
      <vt:variant>
        <vt:i4>5374042</vt:i4>
      </vt:variant>
      <vt:variant>
        <vt:i4>102</vt:i4>
      </vt:variant>
      <vt:variant>
        <vt:i4>0</vt:i4>
      </vt:variant>
      <vt:variant>
        <vt:i4>5</vt:i4>
      </vt:variant>
      <vt:variant>
        <vt:lpwstr>https://www.cdc.gov/infection-control/media/pdfs/guideline-measles-interim-ic-recs-h.pdf?CDC_AAref_Val=https://www.cdc.gov/infectioncontrol/pdf/guidelines/Measles-Interim-IC-Recs-H.pdf</vt:lpwstr>
      </vt:variant>
      <vt:variant>
        <vt:lpwstr/>
      </vt:variant>
      <vt:variant>
        <vt:i4>5374042</vt:i4>
      </vt:variant>
      <vt:variant>
        <vt:i4>96</vt:i4>
      </vt:variant>
      <vt:variant>
        <vt:i4>0</vt:i4>
      </vt:variant>
      <vt:variant>
        <vt:i4>5</vt:i4>
      </vt:variant>
      <vt:variant>
        <vt:lpwstr>https://www.cdc.gov/infection-control/media/pdfs/guideline-measles-interim-ic-recs-h.pdf?CDC_AAref_Val=https://www.cdc.gov/infectioncontrol/pdf/guidelines/Measles-Interim-IC-Recs-H.pdf</vt:lpwstr>
      </vt:variant>
      <vt:variant>
        <vt:lpwstr/>
      </vt:variant>
      <vt:variant>
        <vt:i4>4915217</vt:i4>
      </vt:variant>
      <vt:variant>
        <vt:i4>93</vt:i4>
      </vt:variant>
      <vt:variant>
        <vt:i4>0</vt:i4>
      </vt:variant>
      <vt:variant>
        <vt:i4>5</vt:i4>
      </vt:variant>
      <vt:variant>
        <vt:lpwstr>https://www.osha.gov/measles/hazards</vt:lpwstr>
      </vt:variant>
      <vt:variant>
        <vt:lpwstr/>
      </vt:variant>
      <vt:variant>
        <vt:i4>3670083</vt:i4>
      </vt:variant>
      <vt:variant>
        <vt:i4>90</vt:i4>
      </vt:variant>
      <vt:variant>
        <vt:i4>0</vt:i4>
      </vt:variant>
      <vt:variant>
        <vt:i4>5</vt:i4>
      </vt:variant>
      <vt:variant>
        <vt:lpwstr>https://www.albertahealthservices.ca/assets/healthinfo/ipc/hi-ipc-emerging-issues-measles.pdf?utm_source=chatgpt.com</vt:lpwstr>
      </vt:variant>
      <vt:variant>
        <vt:lpwstr/>
      </vt:variant>
      <vt:variant>
        <vt:i4>7340103</vt:i4>
      </vt:variant>
      <vt:variant>
        <vt:i4>87</vt:i4>
      </vt:variant>
      <vt:variant>
        <vt:i4>0</vt:i4>
      </vt:variant>
      <vt:variant>
        <vt:i4>5</vt:i4>
      </vt:variant>
      <vt:variant>
        <vt:lpwstr>https://www.cdc.gov/infection-control/hcp/environmental-control/laundry-bedding.html?utm_source=chatgpt.com</vt:lpwstr>
      </vt:variant>
      <vt:variant>
        <vt:lpwstr/>
      </vt:variant>
      <vt:variant>
        <vt:i4>589906</vt:i4>
      </vt:variant>
      <vt:variant>
        <vt:i4>84</vt:i4>
      </vt:variant>
      <vt:variant>
        <vt:i4>0</vt:i4>
      </vt:variant>
      <vt:variant>
        <vt:i4>5</vt:i4>
      </vt:variant>
      <vt:variant>
        <vt:lpwstr>https://www.cdc.gov/infection-control/hcp/measles/index.html</vt:lpwstr>
      </vt:variant>
      <vt:variant>
        <vt:lpwstr/>
      </vt:variant>
      <vt:variant>
        <vt:i4>2883695</vt:i4>
      </vt:variant>
      <vt:variant>
        <vt:i4>81</vt:i4>
      </vt:variant>
      <vt:variant>
        <vt:i4>0</vt:i4>
      </vt:variant>
      <vt:variant>
        <vt:i4>5</vt:i4>
      </vt:variant>
      <vt:variant>
        <vt:lpwstr>https://www.cdc.gov/measles/hcp/clinical-overview/?CDC_AAref_Val=https://www.cdc.gov/measles/hcp/index.html</vt:lpwstr>
      </vt:variant>
      <vt:variant>
        <vt:lpwstr/>
      </vt:variant>
      <vt:variant>
        <vt:i4>4915217</vt:i4>
      </vt:variant>
      <vt:variant>
        <vt:i4>78</vt:i4>
      </vt:variant>
      <vt:variant>
        <vt:i4>0</vt:i4>
      </vt:variant>
      <vt:variant>
        <vt:i4>5</vt:i4>
      </vt:variant>
      <vt:variant>
        <vt:lpwstr>https://www.osha.gov/measles/hazards</vt:lpwstr>
      </vt:variant>
      <vt:variant>
        <vt:lpwstr/>
      </vt:variant>
      <vt:variant>
        <vt:i4>3735589</vt:i4>
      </vt:variant>
      <vt:variant>
        <vt:i4>75</vt:i4>
      </vt:variant>
      <vt:variant>
        <vt:i4>0</vt:i4>
      </vt:variant>
      <vt:variant>
        <vt:i4>5</vt:i4>
      </vt:variant>
      <vt:variant>
        <vt:lpwstr>https://www.cdc.gov/infection-control/hcp/measles/?CDC_AAref_Val=https://www.cdc.gov/infectioncontrol/guidelines/measles/index.html</vt:lpwstr>
      </vt:variant>
      <vt:variant>
        <vt:lpwstr/>
      </vt:variant>
      <vt:variant>
        <vt:i4>6881397</vt:i4>
      </vt:variant>
      <vt:variant>
        <vt:i4>72</vt:i4>
      </vt:variant>
      <vt:variant>
        <vt:i4>0</vt:i4>
      </vt:variant>
      <vt:variant>
        <vt:i4>5</vt:i4>
      </vt:variant>
      <vt:variant>
        <vt:lpwstr>https://www.cdc.gov/infection-control/hcp/environmental-control/appendix-b-air.html</vt:lpwstr>
      </vt:variant>
      <vt:variant>
        <vt:lpwstr/>
      </vt:variant>
      <vt:variant>
        <vt:i4>3735589</vt:i4>
      </vt:variant>
      <vt:variant>
        <vt:i4>69</vt:i4>
      </vt:variant>
      <vt:variant>
        <vt:i4>0</vt:i4>
      </vt:variant>
      <vt:variant>
        <vt:i4>5</vt:i4>
      </vt:variant>
      <vt:variant>
        <vt:lpwstr>https://www.cdc.gov/infection-control/hcp/measles/?CDC_AAref_Val=https://www.cdc.gov/infectioncontrol/guidelines/measles/index.html</vt:lpwstr>
      </vt:variant>
      <vt:variant>
        <vt:lpwstr/>
      </vt:variant>
      <vt:variant>
        <vt:i4>3735589</vt:i4>
      </vt:variant>
      <vt:variant>
        <vt:i4>66</vt:i4>
      </vt:variant>
      <vt:variant>
        <vt:i4>0</vt:i4>
      </vt:variant>
      <vt:variant>
        <vt:i4>5</vt:i4>
      </vt:variant>
      <vt:variant>
        <vt:lpwstr>https://www.cdc.gov/infection-control/hcp/measles/?CDC_AAref_Val=https://www.cdc.gov/infectioncontrol/guidelines/measles/index.html</vt:lpwstr>
      </vt:variant>
      <vt:variant>
        <vt:lpwstr/>
      </vt:variant>
      <vt:variant>
        <vt:i4>3735589</vt:i4>
      </vt:variant>
      <vt:variant>
        <vt:i4>63</vt:i4>
      </vt:variant>
      <vt:variant>
        <vt:i4>0</vt:i4>
      </vt:variant>
      <vt:variant>
        <vt:i4>5</vt:i4>
      </vt:variant>
      <vt:variant>
        <vt:lpwstr>https://www.cdc.gov/infection-control/hcp/measles/?CDC_AAref_Val=https://www.cdc.gov/infectioncontrol/guidelines/measles/index.html</vt:lpwstr>
      </vt:variant>
      <vt:variant>
        <vt:lpwstr/>
      </vt:variant>
      <vt:variant>
        <vt:i4>3735589</vt:i4>
      </vt:variant>
      <vt:variant>
        <vt:i4>60</vt:i4>
      </vt:variant>
      <vt:variant>
        <vt:i4>0</vt:i4>
      </vt:variant>
      <vt:variant>
        <vt:i4>5</vt:i4>
      </vt:variant>
      <vt:variant>
        <vt:lpwstr>https://www.cdc.gov/infection-control/hcp/measles/?CDC_AAref_Val=https://www.cdc.gov/infectioncontrol/guidelines/measles/index.html</vt:lpwstr>
      </vt:variant>
      <vt:variant>
        <vt:lpwstr/>
      </vt:variant>
      <vt:variant>
        <vt:i4>3735589</vt:i4>
      </vt:variant>
      <vt:variant>
        <vt:i4>57</vt:i4>
      </vt:variant>
      <vt:variant>
        <vt:i4>0</vt:i4>
      </vt:variant>
      <vt:variant>
        <vt:i4>5</vt:i4>
      </vt:variant>
      <vt:variant>
        <vt:lpwstr>https://www.cdc.gov/infection-control/hcp/measles/?CDC_AAref_Val=https://www.cdc.gov/infectioncontrol/guidelines/measles/index.html</vt:lpwstr>
      </vt:variant>
      <vt:variant>
        <vt:lpwstr/>
      </vt:variant>
      <vt:variant>
        <vt:i4>2490466</vt:i4>
      </vt:variant>
      <vt:variant>
        <vt:i4>54</vt:i4>
      </vt:variant>
      <vt:variant>
        <vt:i4>0</vt:i4>
      </vt:variant>
      <vt:variant>
        <vt:i4>5</vt:i4>
      </vt:variant>
      <vt:variant>
        <vt:lpwstr>https://www.cdc.gov/mmwr/preview/mmwrhtml/rr6204a1.htm</vt:lpwstr>
      </vt:variant>
      <vt:variant>
        <vt:lpwstr/>
      </vt:variant>
      <vt:variant>
        <vt:i4>3735589</vt:i4>
      </vt:variant>
      <vt:variant>
        <vt:i4>51</vt:i4>
      </vt:variant>
      <vt:variant>
        <vt:i4>0</vt:i4>
      </vt:variant>
      <vt:variant>
        <vt:i4>5</vt:i4>
      </vt:variant>
      <vt:variant>
        <vt:lpwstr>https://www.cdc.gov/infection-control/hcp/measles/?CDC_AAref_Val=https://www.cdc.gov/infectioncontrol/guidelines/measles/index.html</vt:lpwstr>
      </vt:variant>
      <vt:variant>
        <vt:lpwstr/>
      </vt:variant>
      <vt:variant>
        <vt:i4>4128828</vt:i4>
      </vt:variant>
      <vt:variant>
        <vt:i4>48</vt:i4>
      </vt:variant>
      <vt:variant>
        <vt:i4>0</vt:i4>
      </vt:variant>
      <vt:variant>
        <vt:i4>5</vt:i4>
      </vt:variant>
      <vt:variant>
        <vt:lpwstr>https://www.ninds.nih.gov/health-information/disorders/subacute-sclerosing-panencephalitis</vt:lpwstr>
      </vt:variant>
      <vt:variant>
        <vt:lpwstr/>
      </vt:variant>
      <vt:variant>
        <vt:i4>3276899</vt:i4>
      </vt:variant>
      <vt:variant>
        <vt:i4>45</vt:i4>
      </vt:variant>
      <vt:variant>
        <vt:i4>0</vt:i4>
      </vt:variant>
      <vt:variant>
        <vt:i4>5</vt:i4>
      </vt:variant>
      <vt:variant>
        <vt:lpwstr>https://emergency.cdc.gov/agent/agentlist-category.asp</vt:lpwstr>
      </vt:variant>
      <vt:variant>
        <vt:lpwstr/>
      </vt:variant>
      <vt:variant>
        <vt:i4>2883695</vt:i4>
      </vt:variant>
      <vt:variant>
        <vt:i4>42</vt:i4>
      </vt:variant>
      <vt:variant>
        <vt:i4>0</vt:i4>
      </vt:variant>
      <vt:variant>
        <vt:i4>5</vt:i4>
      </vt:variant>
      <vt:variant>
        <vt:lpwstr>https://www.cdc.gov/measles/hcp/clinical-overview/?CDC_AAref_Val=https://www.cdc.gov/measles/hcp/index.html</vt:lpwstr>
      </vt:variant>
      <vt:variant>
        <vt:lpwstr/>
      </vt:variant>
      <vt:variant>
        <vt:i4>2883695</vt:i4>
      </vt:variant>
      <vt:variant>
        <vt:i4>39</vt:i4>
      </vt:variant>
      <vt:variant>
        <vt:i4>0</vt:i4>
      </vt:variant>
      <vt:variant>
        <vt:i4>5</vt:i4>
      </vt:variant>
      <vt:variant>
        <vt:lpwstr>https://www.cdc.gov/measles/hcp/clinical-overview/?CDC_AAref_Val=https://www.cdc.gov/measles/hcp/index.html</vt:lpwstr>
      </vt:variant>
      <vt:variant>
        <vt:lpwstr/>
      </vt:variant>
      <vt:variant>
        <vt:i4>2883695</vt:i4>
      </vt:variant>
      <vt:variant>
        <vt:i4>36</vt:i4>
      </vt:variant>
      <vt:variant>
        <vt:i4>0</vt:i4>
      </vt:variant>
      <vt:variant>
        <vt:i4>5</vt:i4>
      </vt:variant>
      <vt:variant>
        <vt:lpwstr>https://www.cdc.gov/measles/hcp/clinical-overview/?CDC_AAref_Val=https://www.cdc.gov/measles/hcp/index.html</vt:lpwstr>
      </vt:variant>
      <vt:variant>
        <vt:lpwstr/>
      </vt:variant>
      <vt:variant>
        <vt:i4>6881397</vt:i4>
      </vt:variant>
      <vt:variant>
        <vt:i4>33</vt:i4>
      </vt:variant>
      <vt:variant>
        <vt:i4>0</vt:i4>
      </vt:variant>
      <vt:variant>
        <vt:i4>5</vt:i4>
      </vt:variant>
      <vt:variant>
        <vt:lpwstr>https://www.cdc.gov/infection-control/hcp/environmental-control/appendix-b-air.html</vt:lpwstr>
      </vt:variant>
      <vt:variant>
        <vt:lpwstr/>
      </vt:variant>
      <vt:variant>
        <vt:i4>3735589</vt:i4>
      </vt:variant>
      <vt:variant>
        <vt:i4>30</vt:i4>
      </vt:variant>
      <vt:variant>
        <vt:i4>0</vt:i4>
      </vt:variant>
      <vt:variant>
        <vt:i4>5</vt:i4>
      </vt:variant>
      <vt:variant>
        <vt:lpwstr>https://www.cdc.gov/infection-control/hcp/measles/?CDC_AAref_Val=https://www.cdc.gov/infectioncontrol/guidelines/measles/index.html</vt:lpwstr>
      </vt:variant>
      <vt:variant>
        <vt:lpwstr/>
      </vt:variant>
      <vt:variant>
        <vt:i4>983061</vt:i4>
      </vt:variant>
      <vt:variant>
        <vt:i4>27</vt:i4>
      </vt:variant>
      <vt:variant>
        <vt:i4>0</vt:i4>
      </vt:variant>
      <vt:variant>
        <vt:i4>5</vt:i4>
      </vt:variant>
      <vt:variant>
        <vt:lpwstr>https://www.cdc.gov/measles/data-research/index.html</vt:lpwstr>
      </vt:variant>
      <vt:variant>
        <vt:lpwstr/>
      </vt:variant>
      <vt:variant>
        <vt:i4>2031685</vt:i4>
      </vt:variant>
      <vt:variant>
        <vt:i4>24</vt:i4>
      </vt:variant>
      <vt:variant>
        <vt:i4>0</vt:i4>
      </vt:variant>
      <vt:variant>
        <vt:i4>5</vt:i4>
      </vt:variant>
      <vt:variant>
        <vt:lpwstr>https://www.cdc.gov/global-measles-vaccination/data-research/global-measles-outbreaks/index.html</vt:lpwstr>
      </vt:variant>
      <vt:variant>
        <vt:lpwstr/>
      </vt:variant>
      <vt:variant>
        <vt:i4>2883695</vt:i4>
      </vt:variant>
      <vt:variant>
        <vt:i4>21</vt:i4>
      </vt:variant>
      <vt:variant>
        <vt:i4>0</vt:i4>
      </vt:variant>
      <vt:variant>
        <vt:i4>5</vt:i4>
      </vt:variant>
      <vt:variant>
        <vt:lpwstr>https://www.cdc.gov/measles/hcp/clinical-overview/?CDC_AAref_Val=https://www.cdc.gov/measles/hcp/index.html</vt:lpwstr>
      </vt:variant>
      <vt:variant>
        <vt:lpwstr/>
      </vt:variant>
      <vt:variant>
        <vt:i4>3473508</vt:i4>
      </vt:variant>
      <vt:variant>
        <vt:i4>18</vt:i4>
      </vt:variant>
      <vt:variant>
        <vt:i4>0</vt:i4>
      </vt:variant>
      <vt:variant>
        <vt:i4>5</vt:i4>
      </vt:variant>
      <vt:variant>
        <vt:lpwstr>https://www.canada.ca/en/public-health/services/diseases/measles/health-professionals-measles.html</vt:lpwstr>
      </vt:variant>
      <vt:variant>
        <vt:lpwstr/>
      </vt:variant>
      <vt:variant>
        <vt:i4>2883695</vt:i4>
      </vt:variant>
      <vt:variant>
        <vt:i4>15</vt:i4>
      </vt:variant>
      <vt:variant>
        <vt:i4>0</vt:i4>
      </vt:variant>
      <vt:variant>
        <vt:i4>5</vt:i4>
      </vt:variant>
      <vt:variant>
        <vt:lpwstr>https://www.cdc.gov/measles/hcp/clinical-overview/?CDC_AAref_Val=https://www.cdc.gov/measles/hcp/index.html</vt:lpwstr>
      </vt:variant>
      <vt:variant>
        <vt:lpwstr/>
      </vt:variant>
      <vt:variant>
        <vt:i4>983061</vt:i4>
      </vt:variant>
      <vt:variant>
        <vt:i4>12</vt:i4>
      </vt:variant>
      <vt:variant>
        <vt:i4>0</vt:i4>
      </vt:variant>
      <vt:variant>
        <vt:i4>5</vt:i4>
      </vt:variant>
      <vt:variant>
        <vt:lpwstr>https://www.cdc.gov/measles/data-research/index.html</vt:lpwstr>
      </vt:variant>
      <vt:variant>
        <vt:lpwstr/>
      </vt:variant>
      <vt:variant>
        <vt:i4>983061</vt:i4>
      </vt:variant>
      <vt:variant>
        <vt:i4>9</vt:i4>
      </vt:variant>
      <vt:variant>
        <vt:i4>0</vt:i4>
      </vt:variant>
      <vt:variant>
        <vt:i4>5</vt:i4>
      </vt:variant>
      <vt:variant>
        <vt:lpwstr>https://www.cdc.gov/measles/data-research/index.html</vt:lpwstr>
      </vt:variant>
      <vt:variant>
        <vt:lpwstr/>
      </vt:variant>
      <vt:variant>
        <vt:i4>4587531</vt:i4>
      </vt:variant>
      <vt:variant>
        <vt:i4>6</vt:i4>
      </vt:variant>
      <vt:variant>
        <vt:i4>0</vt:i4>
      </vt:variant>
      <vt:variant>
        <vt:i4>5</vt:i4>
      </vt:variant>
      <vt:variant>
        <vt:lpwstr>https://www.latimes.com/california/story/2024-12-06/measles-case-reported-at-lax-orange-county-childrens-hospital-who-is-at-risk</vt:lpwstr>
      </vt:variant>
      <vt:variant>
        <vt:lpwstr/>
      </vt:variant>
      <vt:variant>
        <vt:i4>5505097</vt:i4>
      </vt:variant>
      <vt:variant>
        <vt:i4>3</vt:i4>
      </vt:variant>
      <vt:variant>
        <vt:i4>0</vt:i4>
      </vt:variant>
      <vt:variant>
        <vt:i4>5</vt:i4>
      </vt:variant>
      <vt:variant>
        <vt:lpwstr>https://www.nmhealth.org/about/erd/ideb/mog/</vt:lpwstr>
      </vt:variant>
      <vt:variant>
        <vt:lpwstr/>
      </vt:variant>
      <vt:variant>
        <vt:i4>8126568</vt:i4>
      </vt:variant>
      <vt:variant>
        <vt:i4>0</vt:i4>
      </vt:variant>
      <vt:variant>
        <vt:i4>0</vt:i4>
      </vt:variant>
      <vt:variant>
        <vt:i4>5</vt:i4>
      </vt:variant>
      <vt:variant>
        <vt:lpwstr>https://www.dshs.texas.gov/news-alerts/texas-announces-first-death-measles-outbreak</vt:lpwstr>
      </vt:variant>
      <vt:variant>
        <vt:lpwstr/>
      </vt:variant>
      <vt:variant>
        <vt:i4>2752517</vt:i4>
      </vt:variant>
      <vt:variant>
        <vt:i4>3</vt:i4>
      </vt:variant>
      <vt:variant>
        <vt:i4>0</vt:i4>
      </vt:variant>
      <vt:variant>
        <vt:i4>5</vt:i4>
      </vt:variant>
      <vt:variant>
        <vt:lpwstr>mailto:CRPI@apic.org</vt:lpwstr>
      </vt:variant>
      <vt:variant>
        <vt:lpwstr/>
      </vt:variant>
      <vt:variant>
        <vt:i4>2883634</vt:i4>
      </vt:variant>
      <vt:variant>
        <vt:i4>3</vt:i4>
      </vt:variant>
      <vt:variant>
        <vt:i4>0</vt:i4>
      </vt:variant>
      <vt:variant>
        <vt:i4>5</vt:i4>
      </vt:variant>
      <vt:variant>
        <vt:lpwstr>https://www.cdc.gov/measles/hcp/communication-resources/clinical-diagnosis-fact-sheet.html</vt:lpwstr>
      </vt:variant>
      <vt:variant>
        <vt:lpwstr/>
      </vt:variant>
      <vt:variant>
        <vt:i4>5505055</vt:i4>
      </vt:variant>
      <vt:variant>
        <vt:i4>0</vt:i4>
      </vt:variant>
      <vt:variant>
        <vt:i4>0</vt:i4>
      </vt:variant>
      <vt:variant>
        <vt:i4>5</vt:i4>
      </vt:variant>
      <vt:variant>
        <vt:lpwstr>https://www.cdc.gov/measles/hcp/clinical-overview/index.html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Rosa</dc:creator>
  <cp:keywords/>
  <dc:description/>
  <cp:lastModifiedBy>Ria Gupta</cp:lastModifiedBy>
  <cp:revision>2</cp:revision>
  <dcterms:created xsi:type="dcterms:W3CDTF">2025-03-07T20:59:00Z</dcterms:created>
  <dcterms:modified xsi:type="dcterms:W3CDTF">2025-03-07T20:59:00Z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0x010100281B4CE76D5A564C823A0434529FB3FD</vt:lpwstr>
  </property>
  <property fmtid="{D5CDD505-2E9C-101B-9397-08002B2CF9AE}" pid="3" name="MediaServiceImageTags">
    <vt:lpwstr/>
  </property>
</Properties>
</file>