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01BA" w14:textId="5E067F0F" w:rsidR="006963D8" w:rsidRPr="00E038A6" w:rsidRDefault="006963D8" w:rsidP="009215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856576" w14:textId="3A454009" w:rsidR="00B62373" w:rsidRDefault="00B62373" w:rsidP="009215D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A52153" wp14:editId="0F9A30FB">
            <wp:simplePos x="0" y="0"/>
            <wp:positionH relativeFrom="column">
              <wp:posOffset>-129370</wp:posOffset>
            </wp:positionH>
            <wp:positionV relativeFrom="paragraph">
              <wp:posOffset>196313</wp:posOffset>
            </wp:positionV>
            <wp:extent cx="1397358" cy="566019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358" cy="566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A3581" w14:textId="198B83FD" w:rsidR="006963D8" w:rsidRDefault="006963D8" w:rsidP="009215D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8533EE1" w14:textId="4C9FF988" w:rsidR="009215D5" w:rsidRDefault="009215D5" w:rsidP="009215D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E4EAF81" w14:textId="77777777" w:rsidR="009215D5" w:rsidRPr="009215D5" w:rsidRDefault="009215D5" w:rsidP="009215D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B6D81AA" w14:textId="77777777" w:rsidR="00A40209" w:rsidRDefault="00A40209" w:rsidP="009215D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426781" w14:textId="77777777" w:rsidR="00F55275" w:rsidRDefault="001E3130" w:rsidP="00F552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Safety Concern – ENT Endoscope Reprocessing</w:t>
      </w:r>
      <w:r w:rsidR="00F55275">
        <w:rPr>
          <w:rFonts w:ascii="Arial" w:hAnsi="Arial" w:cs="Arial"/>
          <w:b/>
          <w:sz w:val="36"/>
          <w:szCs w:val="36"/>
        </w:rPr>
        <w:t xml:space="preserve"> – </w:t>
      </w:r>
    </w:p>
    <w:p w14:paraId="5E6EA45D" w14:textId="0D9F7823" w:rsidR="004F5215" w:rsidRDefault="00F55275" w:rsidP="00F552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Branch Location </w:t>
      </w:r>
    </w:p>
    <w:p w14:paraId="70221E5B" w14:textId="77777777" w:rsidR="0025413E" w:rsidRPr="0025413E" w:rsidRDefault="004F5215" w:rsidP="0025413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32"/>
          <w:szCs w:val="32"/>
        </w:rPr>
        <w:t xml:space="preserve">     </w:t>
      </w:r>
    </w:p>
    <w:p w14:paraId="0339546F" w14:textId="77777777" w:rsidR="0025413E" w:rsidRDefault="0025413E" w:rsidP="0025413E">
      <w:pPr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6CF48D55" w14:textId="67F37E18" w:rsidR="009215D5" w:rsidRPr="0025413E" w:rsidRDefault="004F5215" w:rsidP="0025413E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4F5215">
        <w:rPr>
          <w:rFonts w:ascii="Arial" w:hAnsi="Arial" w:cs="Arial"/>
          <w:bCs/>
          <w:sz w:val="32"/>
          <w:szCs w:val="32"/>
        </w:rPr>
        <w:t>Safety Net: 97012</w:t>
      </w:r>
      <w:r w:rsidR="001E3130" w:rsidRPr="004F5215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ListTable4-Accent4"/>
        <w:tblW w:w="0" w:type="auto"/>
        <w:jc w:val="center"/>
        <w:tblLook w:val="0420" w:firstRow="1" w:lastRow="0" w:firstColumn="0" w:lastColumn="0" w:noHBand="0" w:noVBand="1"/>
      </w:tblPr>
      <w:tblGrid>
        <w:gridCol w:w="3199"/>
        <w:gridCol w:w="7591"/>
      </w:tblGrid>
      <w:tr w:rsidR="006B3AC5" w:rsidRPr="00E038A6" w14:paraId="4DFF8B94" w14:textId="77777777" w:rsidTr="00164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790" w:type="dxa"/>
            <w:gridSpan w:val="2"/>
            <w:vAlign w:val="center"/>
          </w:tcPr>
          <w:p w14:paraId="625E12AE" w14:textId="38705A0B" w:rsidR="007A7561" w:rsidRPr="00051C63" w:rsidRDefault="007A7561" w:rsidP="00E37764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  <w:tr w:rsidR="00C45C7D" w:rsidRPr="00E038A6" w14:paraId="252A228C" w14:textId="77777777" w:rsidTr="00164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199" w:type="dxa"/>
            <w:vAlign w:val="center"/>
          </w:tcPr>
          <w:p w14:paraId="4819B9DA" w14:textId="5DC01D3E" w:rsidR="00123AE9" w:rsidRPr="00A40209" w:rsidRDefault="00123AE9" w:rsidP="00A40209">
            <w:pPr>
              <w:spacing w:after="0" w:line="240" w:lineRule="auto"/>
              <w:rPr>
                <w:rFonts w:cs="Arial"/>
                <w:bCs/>
                <w:sz w:val="56"/>
                <w:szCs w:val="56"/>
              </w:rPr>
            </w:pPr>
            <w:r w:rsidRPr="00A40209">
              <w:rPr>
                <w:rFonts w:cs="Arial"/>
                <w:b/>
                <w:sz w:val="56"/>
                <w:szCs w:val="56"/>
              </w:rPr>
              <w:t>S</w:t>
            </w:r>
            <w:r w:rsidR="00A40209">
              <w:rPr>
                <w:rFonts w:cs="Arial"/>
                <w:bCs/>
                <w:sz w:val="56"/>
                <w:szCs w:val="56"/>
              </w:rPr>
              <w:t>ituation</w:t>
            </w:r>
          </w:p>
        </w:tc>
        <w:tc>
          <w:tcPr>
            <w:tcW w:w="7591" w:type="dxa"/>
            <w:vAlign w:val="center"/>
          </w:tcPr>
          <w:p w14:paraId="748E28F6" w14:textId="77777777" w:rsidR="00A40209" w:rsidRPr="00A40209" w:rsidRDefault="00A40209" w:rsidP="009215D5">
            <w:pPr>
              <w:spacing w:after="0" w:line="240" w:lineRule="auto"/>
              <w:ind w:left="360"/>
              <w:rPr>
                <w:rFonts w:cs="Arial"/>
                <w:sz w:val="14"/>
                <w:szCs w:val="14"/>
              </w:rPr>
            </w:pPr>
          </w:p>
          <w:p w14:paraId="336F9590" w14:textId="190CDEDD" w:rsidR="00123AE9" w:rsidRDefault="00F55275" w:rsidP="009215D5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Branch location </w:t>
            </w:r>
            <w:r w:rsidR="001E3130" w:rsidRPr="001E3130">
              <w:rPr>
                <w:rFonts w:cs="Arial"/>
                <w:sz w:val="24"/>
                <w:szCs w:val="24"/>
              </w:rPr>
              <w:t>Clinic is reusing endoscopes on patients without proper reprocessing</w:t>
            </w:r>
          </w:p>
          <w:p w14:paraId="5A9BC6E5" w14:textId="4A107610" w:rsidR="00A40209" w:rsidRPr="00A40209" w:rsidRDefault="00A40209" w:rsidP="009215D5">
            <w:pPr>
              <w:spacing w:after="0" w:line="240" w:lineRule="auto"/>
              <w:ind w:left="360"/>
              <w:rPr>
                <w:rFonts w:cs="Arial"/>
                <w:sz w:val="14"/>
                <w:szCs w:val="14"/>
              </w:rPr>
            </w:pPr>
          </w:p>
        </w:tc>
      </w:tr>
      <w:tr w:rsidR="00C45C7D" w:rsidRPr="00E038A6" w14:paraId="25E23288" w14:textId="77777777" w:rsidTr="001640F4">
        <w:trPr>
          <w:jc w:val="center"/>
        </w:trPr>
        <w:tc>
          <w:tcPr>
            <w:tcW w:w="3199" w:type="dxa"/>
            <w:vAlign w:val="center"/>
          </w:tcPr>
          <w:p w14:paraId="5C7C2927" w14:textId="3C35BFEF" w:rsidR="00123AE9" w:rsidRPr="00A40209" w:rsidRDefault="00123AE9" w:rsidP="00A40209">
            <w:pPr>
              <w:spacing w:after="0" w:line="240" w:lineRule="auto"/>
              <w:rPr>
                <w:rFonts w:cs="Arial"/>
                <w:bCs/>
                <w:sz w:val="56"/>
                <w:szCs w:val="56"/>
              </w:rPr>
            </w:pPr>
            <w:r w:rsidRPr="00A40209">
              <w:rPr>
                <w:rFonts w:cs="Arial"/>
                <w:b/>
                <w:sz w:val="56"/>
                <w:szCs w:val="56"/>
              </w:rPr>
              <w:t>B</w:t>
            </w:r>
            <w:r w:rsidR="00A40209">
              <w:rPr>
                <w:rFonts w:cs="Arial"/>
                <w:bCs/>
                <w:sz w:val="56"/>
                <w:szCs w:val="56"/>
              </w:rPr>
              <w:t>ackground</w:t>
            </w:r>
          </w:p>
        </w:tc>
        <w:tc>
          <w:tcPr>
            <w:tcW w:w="7591" w:type="dxa"/>
            <w:vAlign w:val="center"/>
          </w:tcPr>
          <w:p w14:paraId="7F74CCBB" w14:textId="77777777" w:rsidR="00A40209" w:rsidRPr="00A40209" w:rsidRDefault="00A40209" w:rsidP="00A40209">
            <w:pPr>
              <w:pStyle w:val="ListParagraph"/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14:paraId="251B9AA4" w14:textId="0CB7BA5A" w:rsidR="00503FBA" w:rsidRDefault="001E3130" w:rsidP="001E31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Outbreaks related to improper endoscope reprocessing are well documented. </w:t>
            </w:r>
          </w:p>
          <w:p w14:paraId="31315668" w14:textId="2F7AAA5D" w:rsidR="001640F4" w:rsidRPr="001640F4" w:rsidRDefault="001E3130" w:rsidP="001640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Current practice in </w:t>
            </w:r>
            <w:r w:rsidR="00F55275">
              <w:rPr>
                <w:rFonts w:cs="Arial"/>
              </w:rPr>
              <w:t>a branch location</w:t>
            </w:r>
            <w:r>
              <w:rPr>
                <w:rFonts w:cs="Arial"/>
              </w:rPr>
              <w:t xml:space="preserve"> ENT clinic does not align with national ANSI/AAMI standards, endoscope manufacturer’s instructions for use (IFU), or Billings Clinic policy </w:t>
            </w:r>
            <w:r w:rsidR="001640F4">
              <w:rPr>
                <w:rFonts w:cs="Arial"/>
              </w:rPr>
              <w:t>IC-513 Endoscopes: Cleaning and Processing.</w:t>
            </w:r>
          </w:p>
          <w:p w14:paraId="1B905FCB" w14:textId="77C06320" w:rsidR="001E3130" w:rsidRDefault="001640F4" w:rsidP="001E31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Current practice places </w:t>
            </w:r>
            <w:r w:rsidR="00F55275">
              <w:rPr>
                <w:rFonts w:cs="Arial"/>
              </w:rPr>
              <w:t xml:space="preserve">patients at risk for infection and </w:t>
            </w:r>
            <w:r>
              <w:rPr>
                <w:rFonts w:cs="Arial"/>
              </w:rPr>
              <w:t>organization at substantial accreditation</w:t>
            </w:r>
            <w:r w:rsidR="00A40209">
              <w:rPr>
                <w:rFonts w:cs="Arial"/>
              </w:rPr>
              <w:t xml:space="preserve"> and reputational</w:t>
            </w:r>
            <w:r>
              <w:rPr>
                <w:rFonts w:cs="Arial"/>
              </w:rPr>
              <w:t xml:space="preserve"> risk.</w:t>
            </w:r>
          </w:p>
          <w:p w14:paraId="168FCE18" w14:textId="61B90F40" w:rsidR="00A40209" w:rsidRPr="00A40209" w:rsidRDefault="00A40209" w:rsidP="00A40209">
            <w:pPr>
              <w:pStyle w:val="ListParagraph"/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A40209" w:rsidRPr="00E038A6" w14:paraId="682631D4" w14:textId="77777777" w:rsidTr="00A4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0"/>
          <w:jc w:val="center"/>
        </w:trPr>
        <w:tc>
          <w:tcPr>
            <w:tcW w:w="3199" w:type="dxa"/>
            <w:vAlign w:val="center"/>
          </w:tcPr>
          <w:p w14:paraId="71B94DA4" w14:textId="6C559FA7" w:rsidR="00A40209" w:rsidRPr="00A40209" w:rsidRDefault="00A40209" w:rsidP="00A40209">
            <w:pPr>
              <w:spacing w:after="0" w:line="240" w:lineRule="auto"/>
              <w:rPr>
                <w:rFonts w:cs="Arial"/>
                <w:b/>
                <w:sz w:val="56"/>
                <w:szCs w:val="56"/>
              </w:rPr>
            </w:pPr>
            <w:r w:rsidRPr="00A40209">
              <w:rPr>
                <w:rFonts w:cs="Arial"/>
                <w:b/>
                <w:sz w:val="56"/>
                <w:szCs w:val="56"/>
              </w:rPr>
              <w:t>A</w:t>
            </w:r>
            <w:r>
              <w:rPr>
                <w:rFonts w:cs="Arial"/>
                <w:b/>
                <w:sz w:val="56"/>
                <w:szCs w:val="56"/>
              </w:rPr>
              <w:t xml:space="preserve">ssessment &amp; </w:t>
            </w:r>
            <w:r w:rsidRPr="00A40209">
              <w:rPr>
                <w:rFonts w:cs="Arial"/>
                <w:b/>
                <w:sz w:val="56"/>
                <w:szCs w:val="56"/>
              </w:rPr>
              <w:t>R</w:t>
            </w:r>
            <w:r>
              <w:rPr>
                <w:rFonts w:cs="Arial"/>
                <w:b/>
                <w:sz w:val="56"/>
                <w:szCs w:val="56"/>
              </w:rPr>
              <w:t>equest</w:t>
            </w:r>
          </w:p>
        </w:tc>
        <w:tc>
          <w:tcPr>
            <w:tcW w:w="7591" w:type="dxa"/>
            <w:vAlign w:val="center"/>
          </w:tcPr>
          <w:p w14:paraId="64CD2BB1" w14:textId="522310C1" w:rsidR="00A40209" w:rsidRDefault="00A40209" w:rsidP="001640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1640F4">
              <w:rPr>
                <w:rFonts w:cs="Arial"/>
              </w:rPr>
              <w:t>Immediate notification to Bozeman Executive leadership, including regional CMO, CEO</w:t>
            </w:r>
            <w:r w:rsidR="0025413E">
              <w:rPr>
                <w:rFonts w:cs="Arial"/>
              </w:rPr>
              <w:t xml:space="preserve"> of critical patient safety issue. </w:t>
            </w:r>
          </w:p>
          <w:p w14:paraId="08F01657" w14:textId="68709652" w:rsidR="00A40209" w:rsidRDefault="00A40209" w:rsidP="001640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Commitment from </w:t>
            </w:r>
            <w:r w:rsidR="00F55275">
              <w:rPr>
                <w:rFonts w:cs="Arial"/>
              </w:rPr>
              <w:t>ENT provider</w:t>
            </w:r>
            <w:r>
              <w:rPr>
                <w:rFonts w:cs="Arial"/>
              </w:rPr>
              <w:t xml:space="preserve"> to follow approved practices and stop reusing ENT scopes</w:t>
            </w:r>
            <w:r w:rsidR="0025413E">
              <w:rPr>
                <w:rFonts w:cs="Arial"/>
              </w:rPr>
              <w:t>, effective</w:t>
            </w:r>
            <w:r>
              <w:rPr>
                <w:rFonts w:cs="Arial"/>
              </w:rPr>
              <w:t xml:space="preserve"> immediately. </w:t>
            </w:r>
          </w:p>
          <w:p w14:paraId="12DDF5AA" w14:textId="63607796" w:rsidR="00A40209" w:rsidRPr="001640F4" w:rsidRDefault="00A40209" w:rsidP="001640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Appoint one person who is qualified and experienced to have overall  active oversight of endoscope practices in </w:t>
            </w:r>
            <w:r w:rsidR="00F55275">
              <w:rPr>
                <w:rFonts w:cs="Arial"/>
              </w:rPr>
              <w:t>this branch location</w:t>
            </w:r>
            <w:r>
              <w:rPr>
                <w:rFonts w:cs="Arial"/>
              </w:rPr>
              <w:t xml:space="preserve">. </w:t>
            </w:r>
          </w:p>
        </w:tc>
      </w:tr>
    </w:tbl>
    <w:p w14:paraId="6DF940DD" w14:textId="77777777" w:rsidR="006963D8" w:rsidRPr="00E038A6" w:rsidRDefault="006963D8" w:rsidP="009215D5">
      <w:pPr>
        <w:spacing w:after="0" w:line="240" w:lineRule="auto"/>
        <w:rPr>
          <w:rFonts w:cs="Arial"/>
        </w:rPr>
      </w:pPr>
    </w:p>
    <w:sectPr w:rsidR="006963D8" w:rsidRPr="00E038A6" w:rsidSect="00191EA7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A108" w14:textId="77777777" w:rsidR="009C2904" w:rsidRDefault="009C2904" w:rsidP="00745B72">
      <w:pPr>
        <w:spacing w:after="0" w:line="240" w:lineRule="auto"/>
      </w:pPr>
      <w:r>
        <w:separator/>
      </w:r>
    </w:p>
  </w:endnote>
  <w:endnote w:type="continuationSeparator" w:id="0">
    <w:p w14:paraId="3737D15D" w14:textId="77777777" w:rsidR="009C2904" w:rsidRDefault="009C2904" w:rsidP="0074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161" w14:textId="77777777" w:rsidR="007340D7" w:rsidRPr="007340D7" w:rsidRDefault="007340D7">
    <w:pPr>
      <w:pStyle w:val="Footer"/>
      <w:rPr>
        <w:sz w:val="18"/>
        <w:szCs w:val="18"/>
      </w:rPr>
    </w:pPr>
    <w:r w:rsidRPr="007340D7">
      <w:rPr>
        <w:sz w:val="18"/>
        <w:szCs w:val="18"/>
      </w:rPr>
      <w:t xml:space="preserve">7-11-23. </w:t>
    </w:r>
  </w:p>
  <w:p w14:paraId="4369DA0D" w14:textId="1FCC76B4" w:rsidR="007340D7" w:rsidRPr="007340D7" w:rsidRDefault="00F55275">
    <w:pPr>
      <w:pStyle w:val="Footer"/>
      <w:rPr>
        <w:sz w:val="18"/>
        <w:szCs w:val="18"/>
      </w:rPr>
    </w:pPr>
    <w:r>
      <w:rPr>
        <w:sz w:val="18"/>
        <w:szCs w:val="18"/>
      </w:rPr>
      <w:t>NI n</w:t>
    </w:r>
    <w:r w:rsidR="007340D7" w:rsidRPr="007340D7">
      <w:rPr>
        <w:sz w:val="18"/>
        <w:szCs w:val="18"/>
      </w:rPr>
      <w:t xml:space="preserve">otified Neil Ku, MD, Medical Director of Infection Control, </w:t>
    </w:r>
    <w:r w:rsidR="00A02C71">
      <w:rPr>
        <w:sz w:val="18"/>
        <w:szCs w:val="18"/>
      </w:rPr>
      <w:t xml:space="preserve">John Schallenkamp, MD, MBA, </w:t>
    </w:r>
    <w:r w:rsidR="007340D7" w:rsidRPr="007340D7">
      <w:rPr>
        <w:sz w:val="18"/>
        <w:szCs w:val="18"/>
      </w:rPr>
      <w:t xml:space="preserve">Chief Quality Officer, </w:t>
    </w:r>
    <w:r w:rsidR="00A02C71">
      <w:rPr>
        <w:sz w:val="18"/>
        <w:szCs w:val="18"/>
      </w:rPr>
      <w:t xml:space="preserve">and Matt Waller, </w:t>
    </w:r>
    <w:r w:rsidR="007340D7" w:rsidRPr="007340D7">
      <w:rPr>
        <w:sz w:val="18"/>
        <w:szCs w:val="18"/>
      </w:rPr>
      <w:t>Executive Director of Transformation Division</w:t>
    </w:r>
    <w:r w:rsidR="00A02C71">
      <w:rPr>
        <w:sz w:val="18"/>
        <w:szCs w:val="18"/>
      </w:rPr>
      <w:t>,</w:t>
    </w:r>
    <w:r w:rsidR="007340D7" w:rsidRPr="007340D7">
      <w:rPr>
        <w:sz w:val="18"/>
        <w:szCs w:val="18"/>
      </w:rPr>
      <w:t xml:space="preserve"> of findings from SAT Round</w:t>
    </w:r>
    <w:r w:rsidR="007340D7">
      <w:rPr>
        <w:sz w:val="18"/>
        <w:szCs w:val="18"/>
      </w:rPr>
      <w:t>s conducted in Bozeman by Mike Nichols, SPD Supervisor</w:t>
    </w:r>
    <w:r w:rsidR="00A02C71">
      <w:rPr>
        <w:sz w:val="18"/>
        <w:szCs w:val="18"/>
      </w:rPr>
      <w:t>,</w:t>
    </w:r>
    <w:r w:rsidR="007340D7">
      <w:rPr>
        <w:sz w:val="18"/>
        <w:szCs w:val="18"/>
      </w:rPr>
      <w:t xml:space="preserve"> and Nancy Iversen, RN, CIC, CPPS on </w:t>
    </w:r>
    <w:r w:rsidR="007340D7" w:rsidRPr="007340D7">
      <w:rPr>
        <w:sz w:val="18"/>
        <w:szCs w:val="18"/>
      </w:rPr>
      <w:t>7-10</w:t>
    </w:r>
    <w:r w:rsidR="007340D7">
      <w:rPr>
        <w:sz w:val="18"/>
        <w:szCs w:val="18"/>
      </w:rPr>
      <w:t xml:space="preserve"> </w:t>
    </w:r>
    <w:r w:rsidR="007340D7" w:rsidRPr="007340D7">
      <w:rPr>
        <w:sz w:val="18"/>
        <w:szCs w:val="18"/>
      </w:rPr>
      <w:t>&amp;</w:t>
    </w:r>
    <w:r w:rsidR="007340D7">
      <w:rPr>
        <w:sz w:val="18"/>
        <w:szCs w:val="18"/>
      </w:rPr>
      <w:t xml:space="preserve"> </w:t>
    </w:r>
    <w:r w:rsidR="007340D7" w:rsidRPr="007340D7">
      <w:rPr>
        <w:sz w:val="18"/>
        <w:szCs w:val="18"/>
      </w:rPr>
      <w:t xml:space="preserve">11, 2023. </w:t>
    </w:r>
  </w:p>
  <w:p w14:paraId="52F62B2F" w14:textId="61E2A53E" w:rsidR="007340D7" w:rsidRPr="007340D7" w:rsidRDefault="007340D7">
    <w:pPr>
      <w:pStyle w:val="Footer"/>
      <w:rPr>
        <w:sz w:val="18"/>
        <w:szCs w:val="18"/>
      </w:rPr>
    </w:pPr>
    <w:r w:rsidRPr="007340D7">
      <w:rPr>
        <w:sz w:val="18"/>
        <w:szCs w:val="18"/>
      </w:rPr>
      <w:t>Notified B</w:t>
    </w:r>
    <w:r w:rsidR="00F55275">
      <w:rPr>
        <w:sz w:val="18"/>
        <w:szCs w:val="18"/>
      </w:rPr>
      <w:t>ranch location</w:t>
    </w:r>
    <w:r w:rsidRPr="007340D7">
      <w:rPr>
        <w:sz w:val="18"/>
        <w:szCs w:val="18"/>
      </w:rPr>
      <w:t xml:space="preserve"> Executive Leadership and CEO using this SBAR </w:t>
    </w:r>
    <w:r>
      <w:rPr>
        <w:sz w:val="18"/>
        <w:szCs w:val="18"/>
      </w:rPr>
      <w:t xml:space="preserve">Communication </w:t>
    </w:r>
    <w:r w:rsidRPr="007340D7">
      <w:rPr>
        <w:sz w:val="18"/>
        <w:szCs w:val="18"/>
      </w:rPr>
      <w:t>on 7-12-23</w:t>
    </w:r>
    <w:r>
      <w:rPr>
        <w:sz w:val="18"/>
        <w:szCs w:val="18"/>
      </w:rPr>
      <w:t xml:space="preserve">. </w:t>
    </w:r>
    <w:r w:rsidR="00F55275">
      <w:rPr>
        <w:sz w:val="18"/>
        <w:szCs w:val="18"/>
      </w:rPr>
      <w:t xml:space="preserve">Branch location VP, Executive Director and Chief of Surgery </w:t>
    </w:r>
    <w:r>
      <w:rPr>
        <w:sz w:val="18"/>
        <w:szCs w:val="18"/>
      </w:rPr>
      <w:t xml:space="preserve">notified via Teams meeting. </w:t>
    </w:r>
    <w:r w:rsidRPr="007340D7">
      <w:rPr>
        <w:sz w:val="18"/>
        <w:szCs w:val="18"/>
      </w:rPr>
      <w:t xml:space="preserve"> </w:t>
    </w:r>
    <w:r w:rsidR="00F55275">
      <w:rPr>
        <w:sz w:val="18"/>
        <w:szCs w:val="18"/>
      </w:rPr>
      <w:t xml:space="preserve">Branch location VP </w:t>
    </w:r>
    <w:r w:rsidRPr="007340D7">
      <w:rPr>
        <w:sz w:val="18"/>
        <w:szCs w:val="18"/>
      </w:rPr>
      <w:t xml:space="preserve">notified Clint Seger, MD, CEO </w:t>
    </w:r>
    <w:r w:rsidR="00891990">
      <w:rPr>
        <w:sz w:val="18"/>
        <w:szCs w:val="18"/>
      </w:rPr>
      <w:t xml:space="preserve">of safety concern </w:t>
    </w:r>
    <w:r w:rsidRPr="007340D7">
      <w:rPr>
        <w:sz w:val="18"/>
        <w:szCs w:val="18"/>
      </w:rPr>
      <w:t>on 7-12-23</w:t>
    </w:r>
    <w:r>
      <w:rPr>
        <w:sz w:val="18"/>
        <w:szCs w:val="18"/>
      </w:rPr>
      <w:t xml:space="preserve">. </w:t>
    </w:r>
    <w:r w:rsidRPr="007340D7">
      <w:rPr>
        <w:sz w:val="18"/>
        <w:szCs w:val="18"/>
      </w:rPr>
      <w:t xml:space="preserve"> </w:t>
    </w:r>
    <w:r w:rsidR="00891990">
      <w:rPr>
        <w:sz w:val="18"/>
        <w:szCs w:val="18"/>
      </w:rPr>
      <w:t xml:space="preserve">Copy of SBAR provided to </w:t>
    </w:r>
    <w:r w:rsidR="00F55275">
      <w:rPr>
        <w:sz w:val="18"/>
        <w:szCs w:val="18"/>
      </w:rPr>
      <w:t xml:space="preserve">Chief of Surgery </w:t>
    </w:r>
    <w:r w:rsidR="00891990">
      <w:rPr>
        <w:sz w:val="18"/>
        <w:szCs w:val="18"/>
      </w:rPr>
      <w:t xml:space="preserve">as well as copy of </w:t>
    </w:r>
    <w:r w:rsidR="00F55275">
      <w:rPr>
        <w:sz w:val="18"/>
        <w:szCs w:val="18"/>
      </w:rPr>
      <w:t xml:space="preserve">policy </w:t>
    </w:r>
    <w:r w:rsidR="00891990">
      <w:rPr>
        <w:sz w:val="18"/>
        <w:szCs w:val="18"/>
      </w:rPr>
      <w:t>IC-513</w:t>
    </w:r>
    <w:r w:rsidR="00F55275">
      <w:rPr>
        <w:sz w:val="18"/>
        <w:szCs w:val="18"/>
      </w:rPr>
      <w:t xml:space="preserve">, </w:t>
    </w:r>
    <w:r w:rsidR="00891990">
      <w:rPr>
        <w:sz w:val="18"/>
        <w:szCs w:val="18"/>
      </w:rPr>
      <w:t>STO</w:t>
    </w:r>
    <w:r w:rsidR="00A02C71">
      <w:rPr>
        <w:sz w:val="18"/>
        <w:szCs w:val="18"/>
      </w:rPr>
      <w:t>R</w:t>
    </w:r>
    <w:r w:rsidR="00891990">
      <w:rPr>
        <w:sz w:val="18"/>
        <w:szCs w:val="18"/>
      </w:rPr>
      <w:t>Z IFU on 7-13-2023</w:t>
    </w:r>
    <w:r w:rsidR="00F55275">
      <w:rPr>
        <w:sz w:val="18"/>
        <w:szCs w:val="18"/>
      </w:rPr>
      <w:t>, and ANSI/AAMI Standard ST:</w:t>
    </w:r>
  </w:p>
  <w:p w14:paraId="431F0A71" w14:textId="77777777" w:rsidR="007340D7" w:rsidRDefault="0073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C7BB" w14:textId="77777777" w:rsidR="009C2904" w:rsidRDefault="009C2904" w:rsidP="00745B72">
      <w:pPr>
        <w:spacing w:after="0" w:line="240" w:lineRule="auto"/>
      </w:pPr>
      <w:r>
        <w:separator/>
      </w:r>
    </w:p>
  </w:footnote>
  <w:footnote w:type="continuationSeparator" w:id="0">
    <w:p w14:paraId="00AFD44C" w14:textId="77777777" w:rsidR="009C2904" w:rsidRDefault="009C2904" w:rsidP="00745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4B7"/>
    <w:multiLevelType w:val="hybridMultilevel"/>
    <w:tmpl w:val="E99EF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943"/>
    <w:multiLevelType w:val="hybridMultilevel"/>
    <w:tmpl w:val="95B8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473E"/>
    <w:multiLevelType w:val="hybridMultilevel"/>
    <w:tmpl w:val="9C04B4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21344B"/>
    <w:multiLevelType w:val="hybridMultilevel"/>
    <w:tmpl w:val="DF508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2A61"/>
    <w:multiLevelType w:val="hybridMultilevel"/>
    <w:tmpl w:val="03C6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95135"/>
    <w:multiLevelType w:val="hybridMultilevel"/>
    <w:tmpl w:val="53D0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3F20"/>
    <w:multiLevelType w:val="hybridMultilevel"/>
    <w:tmpl w:val="F542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C33E3"/>
    <w:multiLevelType w:val="hybridMultilevel"/>
    <w:tmpl w:val="CC14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34C0"/>
    <w:multiLevelType w:val="hybridMultilevel"/>
    <w:tmpl w:val="BCBCF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D74EC"/>
    <w:multiLevelType w:val="hybridMultilevel"/>
    <w:tmpl w:val="8DBE4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76806">
    <w:abstractNumId w:val="2"/>
  </w:num>
  <w:num w:numId="2" w16cid:durableId="1113328211">
    <w:abstractNumId w:val="6"/>
  </w:num>
  <w:num w:numId="3" w16cid:durableId="1402289377">
    <w:abstractNumId w:val="3"/>
  </w:num>
  <w:num w:numId="4" w16cid:durableId="1336955409">
    <w:abstractNumId w:val="8"/>
  </w:num>
  <w:num w:numId="5" w16cid:durableId="1208446145">
    <w:abstractNumId w:val="0"/>
  </w:num>
  <w:num w:numId="6" w16cid:durableId="980499711">
    <w:abstractNumId w:val="1"/>
  </w:num>
  <w:num w:numId="7" w16cid:durableId="1056509069">
    <w:abstractNumId w:val="4"/>
  </w:num>
  <w:num w:numId="8" w16cid:durableId="575365578">
    <w:abstractNumId w:val="5"/>
  </w:num>
  <w:num w:numId="9" w16cid:durableId="351341810">
    <w:abstractNumId w:val="9"/>
  </w:num>
  <w:num w:numId="10" w16cid:durableId="1895849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94"/>
    <w:rsid w:val="00000916"/>
    <w:rsid w:val="00030C09"/>
    <w:rsid w:val="000338A2"/>
    <w:rsid w:val="00035568"/>
    <w:rsid w:val="00051C63"/>
    <w:rsid w:val="000738C9"/>
    <w:rsid w:val="000D0AA9"/>
    <w:rsid w:val="00101226"/>
    <w:rsid w:val="00123AE9"/>
    <w:rsid w:val="001640F4"/>
    <w:rsid w:val="00171C22"/>
    <w:rsid w:val="001912A2"/>
    <w:rsid w:val="00191EA7"/>
    <w:rsid w:val="001968B9"/>
    <w:rsid w:val="001B75AA"/>
    <w:rsid w:val="001C0494"/>
    <w:rsid w:val="001C383E"/>
    <w:rsid w:val="001C5E68"/>
    <w:rsid w:val="001E3130"/>
    <w:rsid w:val="001E3DFD"/>
    <w:rsid w:val="001E54DF"/>
    <w:rsid w:val="001E7111"/>
    <w:rsid w:val="00225F2B"/>
    <w:rsid w:val="002416B4"/>
    <w:rsid w:val="002506E3"/>
    <w:rsid w:val="0025413E"/>
    <w:rsid w:val="00264F7C"/>
    <w:rsid w:val="002706D9"/>
    <w:rsid w:val="00295D7D"/>
    <w:rsid w:val="002A2A30"/>
    <w:rsid w:val="002E522C"/>
    <w:rsid w:val="00326B45"/>
    <w:rsid w:val="00353C7F"/>
    <w:rsid w:val="00411AC5"/>
    <w:rsid w:val="0041540D"/>
    <w:rsid w:val="004A6E5C"/>
    <w:rsid w:val="004E0FD5"/>
    <w:rsid w:val="004E5DF1"/>
    <w:rsid w:val="004F5215"/>
    <w:rsid w:val="0050120D"/>
    <w:rsid w:val="00503FBA"/>
    <w:rsid w:val="0052401B"/>
    <w:rsid w:val="00582D1B"/>
    <w:rsid w:val="005A389B"/>
    <w:rsid w:val="005A48B7"/>
    <w:rsid w:val="005B31A6"/>
    <w:rsid w:val="005C5FA8"/>
    <w:rsid w:val="005C63F0"/>
    <w:rsid w:val="006237A5"/>
    <w:rsid w:val="00642709"/>
    <w:rsid w:val="0069363F"/>
    <w:rsid w:val="00694B10"/>
    <w:rsid w:val="006963D8"/>
    <w:rsid w:val="006B3AC5"/>
    <w:rsid w:val="006D7D0C"/>
    <w:rsid w:val="006E15A4"/>
    <w:rsid w:val="0070294F"/>
    <w:rsid w:val="007340D7"/>
    <w:rsid w:val="00745B72"/>
    <w:rsid w:val="007A0281"/>
    <w:rsid w:val="007A7561"/>
    <w:rsid w:val="007D4FC4"/>
    <w:rsid w:val="0080213E"/>
    <w:rsid w:val="00806510"/>
    <w:rsid w:val="0081030E"/>
    <w:rsid w:val="00814DA5"/>
    <w:rsid w:val="008447FF"/>
    <w:rsid w:val="008459F2"/>
    <w:rsid w:val="008647D0"/>
    <w:rsid w:val="00873433"/>
    <w:rsid w:val="00876074"/>
    <w:rsid w:val="0088694F"/>
    <w:rsid w:val="00891990"/>
    <w:rsid w:val="00895F31"/>
    <w:rsid w:val="008A1E21"/>
    <w:rsid w:val="008D75E2"/>
    <w:rsid w:val="008E1975"/>
    <w:rsid w:val="00907DB5"/>
    <w:rsid w:val="009215D5"/>
    <w:rsid w:val="00943F06"/>
    <w:rsid w:val="00963656"/>
    <w:rsid w:val="009C1DF3"/>
    <w:rsid w:val="009C2904"/>
    <w:rsid w:val="009C3FDA"/>
    <w:rsid w:val="00A02C71"/>
    <w:rsid w:val="00A20347"/>
    <w:rsid w:val="00A34802"/>
    <w:rsid w:val="00A40209"/>
    <w:rsid w:val="00A5519E"/>
    <w:rsid w:val="00A71D27"/>
    <w:rsid w:val="00A81EDA"/>
    <w:rsid w:val="00AB7F6C"/>
    <w:rsid w:val="00AD2C4E"/>
    <w:rsid w:val="00AE61CA"/>
    <w:rsid w:val="00B41C97"/>
    <w:rsid w:val="00B4751D"/>
    <w:rsid w:val="00B600E0"/>
    <w:rsid w:val="00B62373"/>
    <w:rsid w:val="00BD2F93"/>
    <w:rsid w:val="00BD7D07"/>
    <w:rsid w:val="00BF1006"/>
    <w:rsid w:val="00BF117F"/>
    <w:rsid w:val="00BF2C5C"/>
    <w:rsid w:val="00BF3C5B"/>
    <w:rsid w:val="00BF7715"/>
    <w:rsid w:val="00C1179E"/>
    <w:rsid w:val="00C266F6"/>
    <w:rsid w:val="00C430D3"/>
    <w:rsid w:val="00C44C40"/>
    <w:rsid w:val="00C45C7D"/>
    <w:rsid w:val="00C55E6C"/>
    <w:rsid w:val="00C57B2E"/>
    <w:rsid w:val="00C92528"/>
    <w:rsid w:val="00CA3ED0"/>
    <w:rsid w:val="00CA5DA9"/>
    <w:rsid w:val="00CE2287"/>
    <w:rsid w:val="00CF0CBC"/>
    <w:rsid w:val="00CF1FCA"/>
    <w:rsid w:val="00D928DA"/>
    <w:rsid w:val="00DB7CCE"/>
    <w:rsid w:val="00DF7396"/>
    <w:rsid w:val="00E038A6"/>
    <w:rsid w:val="00E35384"/>
    <w:rsid w:val="00E37764"/>
    <w:rsid w:val="00E415F3"/>
    <w:rsid w:val="00E427AD"/>
    <w:rsid w:val="00E475F6"/>
    <w:rsid w:val="00E64672"/>
    <w:rsid w:val="00E9319E"/>
    <w:rsid w:val="00EA5519"/>
    <w:rsid w:val="00EC5BF0"/>
    <w:rsid w:val="00F1259D"/>
    <w:rsid w:val="00F511F2"/>
    <w:rsid w:val="00F55275"/>
    <w:rsid w:val="00F7777A"/>
    <w:rsid w:val="00F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D430F"/>
  <w15:docId w15:val="{E6036DD4-2FB8-4CA5-BCAD-F5E69EB2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0494"/>
    <w:pPr>
      <w:ind w:left="720"/>
      <w:contextualSpacing/>
    </w:pPr>
  </w:style>
  <w:style w:type="table" w:styleId="TableGrid">
    <w:name w:val="Table Grid"/>
    <w:basedOn w:val="TableNormal"/>
    <w:uiPriority w:val="99"/>
    <w:rsid w:val="000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4">
    <w:name w:val="List Table 4 Accent 4"/>
    <w:basedOn w:val="TableNormal"/>
    <w:uiPriority w:val="49"/>
    <w:rsid w:val="006B3AC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uiPriority w:val="99"/>
    <w:semiHidden/>
    <w:rsid w:val="00A5519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0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Bedside Report – All Scenarios</vt:lpstr>
    </vt:vector>
  </TitlesOfParts>
  <Company>Billings Clinic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Bedside Report – All Scenarios</dc:title>
  <dc:creator>Windows User</dc:creator>
  <cp:lastModifiedBy>McNurlin, Kirsten</cp:lastModifiedBy>
  <cp:revision>2</cp:revision>
  <cp:lastPrinted>2023-07-17T20:38:00Z</cp:lastPrinted>
  <dcterms:created xsi:type="dcterms:W3CDTF">2024-05-01T16:11:00Z</dcterms:created>
  <dcterms:modified xsi:type="dcterms:W3CDTF">2024-05-01T16:11:00Z</dcterms:modified>
</cp:coreProperties>
</file>