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09" w:rsidRDefault="00C3193C">
      <w:pPr>
        <w:spacing w:line="259" w:lineRule="auto"/>
        <w:ind w:left="0" w:firstLine="0"/>
      </w:pPr>
      <w:bookmarkStart w:id="0" w:name="_GoBack"/>
      <w:bookmarkEnd w:id="0"/>
      <w:r>
        <w:rPr>
          <w:noProof/>
        </w:rPr>
        <w:drawing>
          <wp:inline distT="0" distB="0" distL="0" distR="0">
            <wp:extent cx="1487170" cy="59118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a:fillRect/>
                    </a:stretch>
                  </pic:blipFill>
                  <pic:spPr>
                    <a:xfrm>
                      <a:off x="0" y="0"/>
                      <a:ext cx="1487170" cy="591185"/>
                    </a:xfrm>
                    <a:prstGeom prst="rect">
                      <a:avLst/>
                    </a:prstGeom>
                  </pic:spPr>
                </pic:pic>
              </a:graphicData>
            </a:graphic>
          </wp:inline>
        </w:drawing>
      </w:r>
      <w:r>
        <w:rPr>
          <w:sz w:val="20"/>
        </w:rPr>
        <w:t xml:space="preserve"> </w:t>
      </w:r>
    </w:p>
    <w:p w:rsidR="00A56E09" w:rsidRDefault="00C3193C">
      <w:pPr>
        <w:spacing w:line="259" w:lineRule="auto"/>
        <w:ind w:left="10" w:firstLine="0"/>
        <w:jc w:val="center"/>
      </w:pPr>
      <w:r>
        <w:rPr>
          <w:b/>
        </w:rPr>
        <w:t xml:space="preserve"> </w:t>
      </w:r>
    </w:p>
    <w:p w:rsidR="00A56E09" w:rsidRDefault="00C3193C">
      <w:pPr>
        <w:spacing w:line="259" w:lineRule="auto"/>
        <w:ind w:left="0" w:right="60" w:firstLine="0"/>
        <w:jc w:val="center"/>
      </w:pPr>
      <w:r>
        <w:rPr>
          <w:b/>
        </w:rPr>
        <w:t xml:space="preserve">REVISED POLICY </w:t>
      </w:r>
    </w:p>
    <w:p w:rsidR="00A56E09" w:rsidRDefault="00C3193C">
      <w:pPr>
        <w:spacing w:line="259" w:lineRule="auto"/>
        <w:ind w:left="0" w:right="52" w:firstLine="0"/>
        <w:jc w:val="center"/>
      </w:pPr>
      <w:r>
        <w:rPr>
          <w:b/>
          <w:i/>
          <w:sz w:val="20"/>
        </w:rPr>
        <w:t xml:space="preserve">(Approved by APIC Board 8/3/2009) </w:t>
      </w:r>
    </w:p>
    <w:p w:rsidR="00A56E09" w:rsidRDefault="00C3193C">
      <w:pPr>
        <w:spacing w:after="17" w:line="259" w:lineRule="auto"/>
        <w:ind w:left="0" w:firstLine="0"/>
        <w:jc w:val="right"/>
      </w:pPr>
      <w:r>
        <w:rPr>
          <w:sz w:val="20"/>
        </w:rPr>
        <w:t xml:space="preserve"> </w:t>
      </w:r>
    </w:p>
    <w:p w:rsidR="00A56E09" w:rsidRDefault="00C3193C">
      <w:pPr>
        <w:spacing w:after="117" w:line="241" w:lineRule="auto"/>
        <w:ind w:left="577" w:right="5466" w:firstLine="245"/>
      </w:pPr>
      <w:r>
        <w:rPr>
          <w:i/>
        </w:rPr>
        <w:t xml:space="preserve">Policy </w:t>
      </w:r>
      <w:r>
        <w:rPr>
          <w:i/>
        </w:rPr>
        <w:tab/>
      </w:r>
      <w:r>
        <w:t xml:space="preserve">5.4.2   </w:t>
      </w:r>
      <w:r>
        <w:rPr>
          <w:i/>
        </w:rPr>
        <w:t xml:space="preserve">Number: </w:t>
      </w:r>
    </w:p>
    <w:p w:rsidR="00A56E09" w:rsidRDefault="00C3193C">
      <w:pPr>
        <w:tabs>
          <w:tab w:val="center" w:pos="940"/>
          <w:tab w:val="center" w:pos="3104"/>
        </w:tabs>
        <w:spacing w:after="117"/>
        <w:ind w:left="0" w:firstLine="0"/>
      </w:pPr>
      <w:r>
        <w:rPr>
          <w:rFonts w:ascii="Calibri" w:eastAsia="Calibri" w:hAnsi="Calibri" w:cs="Calibri"/>
          <w:sz w:val="22"/>
        </w:rPr>
        <w:tab/>
      </w:r>
      <w:r>
        <w:rPr>
          <w:i/>
        </w:rPr>
        <w:t xml:space="preserve">Category: </w:t>
      </w:r>
      <w:r>
        <w:rPr>
          <w:i/>
        </w:rPr>
        <w:tab/>
      </w:r>
      <w:r>
        <w:t xml:space="preserve">Operational Group - General </w:t>
      </w:r>
    </w:p>
    <w:p w:rsidR="00A56E09" w:rsidRDefault="00C3193C">
      <w:pPr>
        <w:tabs>
          <w:tab w:val="center" w:pos="1036"/>
          <w:tab w:val="center" w:pos="2945"/>
        </w:tabs>
        <w:spacing w:after="72"/>
        <w:ind w:left="0" w:firstLine="0"/>
      </w:pPr>
      <w:r>
        <w:rPr>
          <w:rFonts w:ascii="Calibri" w:eastAsia="Calibri" w:hAnsi="Calibri" w:cs="Calibri"/>
          <w:sz w:val="22"/>
        </w:rPr>
        <w:tab/>
      </w:r>
      <w:r>
        <w:rPr>
          <w:i/>
        </w:rPr>
        <w:t xml:space="preserve">Subject: </w:t>
      </w:r>
      <w:r>
        <w:rPr>
          <w:i/>
        </w:rPr>
        <w:tab/>
      </w:r>
      <w:r>
        <w:t xml:space="preserve">Records Retention Policy </w:t>
      </w:r>
    </w:p>
    <w:p w:rsidR="00A56E09" w:rsidRDefault="00C3193C">
      <w:pPr>
        <w:spacing w:line="259" w:lineRule="auto"/>
        <w:ind w:left="0" w:firstLine="0"/>
      </w:pPr>
      <w:r>
        <w:rPr>
          <w:sz w:val="20"/>
        </w:rPr>
        <w:t xml:space="preserve"> </w:t>
      </w:r>
    </w:p>
    <w:p w:rsidR="00A56E09" w:rsidRDefault="00C3193C">
      <w:pPr>
        <w:spacing w:after="12" w:line="259" w:lineRule="auto"/>
        <w:ind w:left="0" w:firstLine="0"/>
      </w:pPr>
      <w:r>
        <w:rPr>
          <w:sz w:val="20"/>
        </w:rPr>
        <w:t xml:space="preserve"> </w:t>
      </w:r>
    </w:p>
    <w:p w:rsidR="00A56E09" w:rsidRDefault="00C3193C">
      <w:pPr>
        <w:spacing w:line="259" w:lineRule="auto"/>
        <w:ind w:left="-5"/>
      </w:pPr>
      <w:r>
        <w:rPr>
          <w:u w:val="single" w:color="000000"/>
        </w:rPr>
        <w:t>Purpose:</w:t>
      </w:r>
      <w:r>
        <w:t xml:space="preserve"> </w:t>
      </w:r>
    </w:p>
    <w:p w:rsidR="00A56E09" w:rsidRDefault="00C3193C">
      <w:pPr>
        <w:spacing w:line="259" w:lineRule="auto"/>
        <w:ind w:left="0" w:firstLine="0"/>
      </w:pPr>
      <w:r>
        <w:t xml:space="preserve"> </w:t>
      </w:r>
    </w:p>
    <w:p w:rsidR="00A56E09" w:rsidRDefault="00C3193C">
      <w:pPr>
        <w:ind w:left="-5" w:right="23"/>
      </w:pPr>
      <w:r>
        <w:t>The Sarbanes-</w:t>
      </w:r>
      <w:r>
        <w:t>Oxley Act of July 30, 2002 addresses the destruction of business records and documents and raises its importance to the level of a task that must be carefully monitored.  This Policy describes the steps APIC will take to comply with the letter as well as t</w:t>
      </w:r>
      <w:r>
        <w:t xml:space="preserve">he spirit of the law. </w:t>
      </w:r>
    </w:p>
    <w:p w:rsidR="00A56E09" w:rsidRDefault="00C3193C">
      <w:pPr>
        <w:spacing w:line="259" w:lineRule="auto"/>
        <w:ind w:left="0" w:firstLine="0"/>
      </w:pPr>
      <w:r>
        <w:t xml:space="preserve"> </w:t>
      </w:r>
    </w:p>
    <w:p w:rsidR="00A56E09" w:rsidRDefault="00C3193C">
      <w:pPr>
        <w:spacing w:line="259" w:lineRule="auto"/>
        <w:ind w:left="-5"/>
      </w:pPr>
      <w:r>
        <w:rPr>
          <w:u w:val="single" w:color="000000"/>
        </w:rPr>
        <w:t>Scope:</w:t>
      </w:r>
      <w:r>
        <w:t xml:space="preserve"> </w:t>
      </w:r>
    </w:p>
    <w:p w:rsidR="00A56E09" w:rsidRDefault="00C3193C">
      <w:pPr>
        <w:spacing w:line="259" w:lineRule="auto"/>
        <w:ind w:left="0" w:firstLine="0"/>
      </w:pPr>
      <w:r>
        <w:t xml:space="preserve"> </w:t>
      </w:r>
    </w:p>
    <w:p w:rsidR="00A56E09" w:rsidRDefault="00C3193C">
      <w:pPr>
        <w:ind w:left="-5" w:right="23"/>
      </w:pPr>
      <w:r>
        <w:t>This legislation makes it a crime to alter, cover up, falsify, or destroy any document to prevent its use in an official proceeding.  In order to prevent the accidental destruction of vital documents, this policy provides</w:t>
      </w:r>
      <w:r>
        <w:t xml:space="preserve"> the guidance that should be adhered to by APIC staff in determining how long records should be retained by the organization.  Failure to follow this policy may have serious consequences for APIC and the employee, including possible civil and criminal sanc</w:t>
      </w:r>
      <w:r>
        <w:t xml:space="preserve">tions against APIC and its employees and possible disciplinary action against responsible individuals, up to and including termination of employment. </w:t>
      </w:r>
    </w:p>
    <w:p w:rsidR="00A56E09" w:rsidRDefault="00C3193C">
      <w:pPr>
        <w:spacing w:line="259" w:lineRule="auto"/>
        <w:ind w:left="0" w:firstLine="0"/>
      </w:pPr>
      <w:r>
        <w:t xml:space="preserve"> </w:t>
      </w:r>
    </w:p>
    <w:p w:rsidR="00A56E09" w:rsidRDefault="00C3193C">
      <w:pPr>
        <w:spacing w:line="259" w:lineRule="auto"/>
        <w:ind w:left="-5"/>
      </w:pPr>
      <w:r>
        <w:rPr>
          <w:u w:val="single" w:color="000000"/>
        </w:rPr>
        <w:t>Policy:</w:t>
      </w:r>
      <w:r>
        <w:t xml:space="preserve"> </w:t>
      </w:r>
    </w:p>
    <w:p w:rsidR="00A56E09" w:rsidRDefault="00C3193C">
      <w:pPr>
        <w:spacing w:line="259" w:lineRule="auto"/>
        <w:ind w:left="0" w:firstLine="0"/>
      </w:pPr>
      <w:r>
        <w:t xml:space="preserve"> </w:t>
      </w:r>
    </w:p>
    <w:p w:rsidR="00A56E09" w:rsidRDefault="00C3193C">
      <w:pPr>
        <w:ind w:left="-5" w:right="23"/>
      </w:pPr>
      <w:r>
        <w:t>On an annual basis, APIC staff will review documents to determine which records are to be pu</w:t>
      </w:r>
      <w:r>
        <w:t>rged consistent with this policy.  If during the review, the staff determines that documents, including correspondence, could potentially be of historic significance, a decision will be made to retain them as long as is appropriately necessary in those cir</w:t>
      </w:r>
      <w:r>
        <w:t xml:space="preserve">cumstances. </w:t>
      </w:r>
    </w:p>
    <w:p w:rsidR="00A56E09" w:rsidRDefault="00C3193C">
      <w:pPr>
        <w:spacing w:line="259" w:lineRule="auto"/>
        <w:ind w:left="0" w:firstLine="0"/>
      </w:pPr>
      <w:r>
        <w:t xml:space="preserve"> </w:t>
      </w:r>
    </w:p>
    <w:tbl>
      <w:tblPr>
        <w:tblStyle w:val="TableGrid"/>
        <w:tblW w:w="8864" w:type="dxa"/>
        <w:tblInd w:w="-110" w:type="dxa"/>
        <w:tblCellMar>
          <w:top w:w="12" w:type="dxa"/>
          <w:left w:w="106" w:type="dxa"/>
          <w:bottom w:w="0" w:type="dxa"/>
          <w:right w:w="55" w:type="dxa"/>
        </w:tblCellMar>
        <w:tblLook w:val="04A0" w:firstRow="1" w:lastRow="0" w:firstColumn="1" w:lastColumn="0" w:noHBand="0" w:noVBand="1"/>
      </w:tblPr>
      <w:tblGrid>
        <w:gridCol w:w="6415"/>
        <w:gridCol w:w="2449"/>
      </w:tblGrid>
      <w:tr w:rsidR="00A56E09">
        <w:trPr>
          <w:trHeight w:val="841"/>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10" w:firstLine="0"/>
              <w:jc w:val="center"/>
            </w:pPr>
            <w:r>
              <w:rPr>
                <w:b/>
              </w:rPr>
              <w:t xml:space="preserve"> </w:t>
            </w:r>
          </w:p>
          <w:p w:rsidR="00A56E09" w:rsidRDefault="00C3193C">
            <w:pPr>
              <w:spacing w:line="259" w:lineRule="auto"/>
              <w:ind w:left="0" w:right="54" w:firstLine="0"/>
              <w:jc w:val="center"/>
            </w:pPr>
            <w:r>
              <w:rPr>
                <w:b/>
              </w:rPr>
              <w:t xml:space="preserve">DOCUMENT </w:t>
            </w:r>
          </w:p>
          <w:p w:rsidR="00A56E09" w:rsidRDefault="00C3193C">
            <w:pPr>
              <w:spacing w:line="259" w:lineRule="auto"/>
              <w:ind w:left="10" w:firstLine="0"/>
              <w:jc w:val="center"/>
            </w:pPr>
            <w:r>
              <w:rPr>
                <w:b/>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jc w:val="center"/>
            </w:pPr>
            <w:r>
              <w:rPr>
                <w:b/>
              </w:rPr>
              <w:t xml:space="preserve"> </w:t>
            </w:r>
          </w:p>
          <w:p w:rsidR="00A56E09" w:rsidRDefault="00C3193C">
            <w:pPr>
              <w:spacing w:line="259" w:lineRule="auto"/>
              <w:ind w:left="5" w:firstLine="0"/>
              <w:jc w:val="both"/>
            </w:pPr>
            <w:r>
              <w:rPr>
                <w:b/>
              </w:rPr>
              <w:t xml:space="preserve">RETENTION TERM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lastRenderedPageBreak/>
              <w:t xml:space="preserve">Accident report/claims (settled cases)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Accounts Payable ledgers and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Accounts Receivable ledgers and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Annual Reports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Audit reports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Bank reconciliations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Bank statements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Bylaws/charter/articles of incorporation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Cancelled checks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Chart of Accounts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Completed contracts (from date of completion)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9"/>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Contracts, notes and leases still in effect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general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Two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legal and important matters only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routine with customers and/or vendors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Two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email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Depreciation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4"/>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Duplicate deposit slips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Expense analyses/expense distribution schedule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Financial statements, year end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Financial statements, other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Optional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Fixed asset/property/real estate records (including checks)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Garnishments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Insurance policies, expired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Insurance records (claims, etc.)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Internal audit reports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Investment records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Journals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Legal correspondence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4"/>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Minutes of board/committee meetings (including budgets)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Notes receivable ledgers and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Payroll records and summaries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Pension plan/retirement records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Personnel files (from date of departure)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4"/>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Sales records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562"/>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Tax returns and worksheets, examination reports and other documents relating to determination of income tax liability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Timesheets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W-2s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bl>
    <w:p w:rsidR="00A56E09" w:rsidRDefault="00C3193C">
      <w:pPr>
        <w:spacing w:line="259" w:lineRule="auto"/>
        <w:ind w:left="0" w:firstLine="0"/>
        <w:jc w:val="both"/>
      </w:pPr>
      <w:r>
        <w:t xml:space="preserve"> </w:t>
      </w:r>
    </w:p>
    <w:p w:rsidR="00A56E09" w:rsidRDefault="00C3193C">
      <w:pPr>
        <w:spacing w:line="259" w:lineRule="auto"/>
        <w:ind w:left="0" w:firstLine="0"/>
        <w:jc w:val="both"/>
      </w:pPr>
      <w:r>
        <w:lastRenderedPageBreak/>
        <w:t xml:space="preserve"> </w:t>
      </w:r>
    </w:p>
    <w:p w:rsidR="00A56E09" w:rsidRDefault="00A56E09">
      <w:pPr>
        <w:spacing w:line="259" w:lineRule="auto"/>
        <w:ind w:left="-1800" w:right="10494" w:firstLine="0"/>
      </w:pPr>
    </w:p>
    <w:tbl>
      <w:tblPr>
        <w:tblStyle w:val="TableGrid"/>
        <w:tblW w:w="8864" w:type="dxa"/>
        <w:tblInd w:w="-110" w:type="dxa"/>
        <w:tblCellMar>
          <w:top w:w="12" w:type="dxa"/>
          <w:left w:w="106" w:type="dxa"/>
          <w:bottom w:w="0" w:type="dxa"/>
          <w:right w:w="55" w:type="dxa"/>
        </w:tblCellMar>
        <w:tblLook w:val="04A0" w:firstRow="1" w:lastRow="0" w:firstColumn="1" w:lastColumn="0" w:noHBand="0" w:noVBand="1"/>
      </w:tblPr>
      <w:tblGrid>
        <w:gridCol w:w="6415"/>
        <w:gridCol w:w="2449"/>
      </w:tblGrid>
      <w:tr w:rsidR="00A56E09">
        <w:trPr>
          <w:trHeight w:val="566"/>
        </w:trPr>
        <w:tc>
          <w:tcPr>
            <w:tcW w:w="8864" w:type="dxa"/>
            <w:gridSpan w:val="2"/>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10" w:firstLine="0"/>
              <w:jc w:val="center"/>
            </w:pPr>
            <w:r>
              <w:rPr>
                <w:b/>
              </w:rPr>
              <w:t xml:space="preserve"> </w:t>
            </w:r>
          </w:p>
          <w:p w:rsidR="00A56E09" w:rsidRDefault="00C3193C">
            <w:pPr>
              <w:spacing w:line="259" w:lineRule="auto"/>
              <w:ind w:left="0" w:right="62" w:firstLine="0"/>
              <w:jc w:val="center"/>
            </w:pPr>
            <w:r>
              <w:rPr>
                <w:b/>
              </w:rPr>
              <w:t xml:space="preserve">RETENTION POLICY (sorted by retention term) </w:t>
            </w:r>
          </w:p>
        </w:tc>
      </w:tr>
      <w:tr w:rsidR="00A56E09">
        <w:trPr>
          <w:trHeight w:val="836"/>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10" w:firstLine="0"/>
              <w:jc w:val="center"/>
            </w:pPr>
            <w:r>
              <w:t xml:space="preserve"> </w:t>
            </w:r>
          </w:p>
          <w:p w:rsidR="00A56E09" w:rsidRDefault="00C3193C">
            <w:pPr>
              <w:spacing w:line="259" w:lineRule="auto"/>
              <w:ind w:left="0" w:right="54" w:firstLine="0"/>
              <w:jc w:val="center"/>
            </w:pPr>
            <w:r>
              <w:rPr>
                <w:b/>
              </w:rPr>
              <w:t xml:space="preserve">DOCUMENT </w:t>
            </w:r>
          </w:p>
          <w:p w:rsidR="00A56E09" w:rsidRDefault="00C3193C">
            <w:pPr>
              <w:spacing w:line="259" w:lineRule="auto"/>
              <w:ind w:left="10" w:firstLine="0"/>
              <w:jc w:val="center"/>
            </w:pP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jc w:val="center"/>
            </w:pPr>
            <w:r>
              <w:t xml:space="preserve"> </w:t>
            </w:r>
          </w:p>
          <w:p w:rsidR="00A56E09" w:rsidRDefault="00C3193C">
            <w:pPr>
              <w:spacing w:line="259" w:lineRule="auto"/>
              <w:ind w:left="5" w:firstLine="0"/>
              <w:jc w:val="both"/>
            </w:pPr>
            <w:r>
              <w:rPr>
                <w:b/>
              </w:rPr>
              <w:t xml:space="preserve">RETENTION TERM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Annual Reports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Audit reports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Bylaws/charter/articles of incorporation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4"/>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Chart of Accounts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Contracts, notes and leases still in effect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legal and important matters only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Depreciation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Financial statements, year end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Financial statements, other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Optional </w:t>
            </w:r>
          </w:p>
        </w:tc>
      </w:tr>
      <w:tr w:rsidR="00A56E09">
        <w:trPr>
          <w:trHeight w:val="289"/>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Fixed asset/property/real estate records (including checks)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Insurance policies, expired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Investment records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Legal correspondence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Minutes of board/committee meetings (including budgets)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Pension plan/retirement records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Permanent </w:t>
            </w:r>
          </w:p>
        </w:tc>
      </w:tr>
      <w:tr w:rsidR="00A56E09">
        <w:trPr>
          <w:trHeight w:val="562"/>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Tax returns and worksheets, examination reports and other documents relating to determination of income tax liability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 </w:t>
            </w:r>
          </w:p>
          <w:p w:rsidR="00A56E09" w:rsidRDefault="00C3193C">
            <w:pPr>
              <w:spacing w:line="259" w:lineRule="auto"/>
              <w:ind w:left="0" w:firstLine="0"/>
            </w:pPr>
            <w:r>
              <w:t xml:space="preserve">Permanent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Accident report/claims (settled cases)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Accounts Payable ledgers and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Accounts Receivable ledgers and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Cancelled checks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Completed contracts (from date of completion)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Expense analyses/expense distribution schedule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Garnishments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Insurance records (claims, etc.)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Journals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Notes receivable ledgers and schedules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4"/>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Payroll records and summaries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Personnel files (from date of departure)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Sales records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Timesheets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W-2s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Seven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Bank reconciliations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lastRenderedPageBreak/>
              <w:t xml:space="preserve">Bank statements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email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Duplicate deposit slips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3"/>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Internal audit reports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Three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general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Two years </w:t>
            </w:r>
          </w:p>
        </w:tc>
      </w:tr>
      <w:tr w:rsidR="00A56E09">
        <w:trPr>
          <w:trHeight w:val="288"/>
        </w:trPr>
        <w:tc>
          <w:tcPr>
            <w:tcW w:w="6415"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5" w:firstLine="0"/>
            </w:pPr>
            <w:r>
              <w:t xml:space="preserve">Correspondence, routine with customers and/or vendors </w:t>
            </w:r>
          </w:p>
        </w:tc>
        <w:tc>
          <w:tcPr>
            <w:tcW w:w="2449" w:type="dxa"/>
            <w:tcBorders>
              <w:top w:val="single" w:sz="4" w:space="0" w:color="000000"/>
              <w:left w:val="single" w:sz="4" w:space="0" w:color="000000"/>
              <w:bottom w:val="single" w:sz="4" w:space="0" w:color="000000"/>
              <w:right w:val="single" w:sz="4" w:space="0" w:color="000000"/>
            </w:tcBorders>
          </w:tcPr>
          <w:p w:rsidR="00A56E09" w:rsidRDefault="00C3193C">
            <w:pPr>
              <w:spacing w:line="259" w:lineRule="auto"/>
              <w:ind w:left="0" w:firstLine="0"/>
            </w:pPr>
            <w:r>
              <w:t xml:space="preserve">Two years </w:t>
            </w:r>
          </w:p>
        </w:tc>
      </w:tr>
    </w:tbl>
    <w:p w:rsidR="00A56E09" w:rsidRDefault="00C3193C">
      <w:pPr>
        <w:spacing w:line="259" w:lineRule="auto"/>
        <w:ind w:left="0" w:firstLine="0"/>
      </w:pPr>
      <w:r>
        <w:t xml:space="preserve"> </w:t>
      </w:r>
    </w:p>
    <w:p w:rsidR="00A56E09" w:rsidRDefault="00C3193C">
      <w:pPr>
        <w:tabs>
          <w:tab w:val="center" w:pos="1273"/>
          <w:tab w:val="center" w:pos="2089"/>
        </w:tabs>
        <w:spacing w:after="56" w:line="259" w:lineRule="auto"/>
        <w:ind w:left="0" w:firstLine="0"/>
      </w:pPr>
      <w:r>
        <w:rPr>
          <w:rFonts w:ascii="Calibri" w:eastAsia="Calibri" w:hAnsi="Calibri" w:cs="Calibri"/>
          <w:sz w:val="22"/>
        </w:rPr>
        <w:tab/>
      </w:r>
      <w:r>
        <w:rPr>
          <w:rFonts w:ascii="Arial" w:eastAsia="Arial" w:hAnsi="Arial" w:cs="Arial"/>
          <w:i/>
          <w:sz w:val="22"/>
        </w:rPr>
        <w:t xml:space="preserve">Approval Date: </w:t>
      </w:r>
      <w:r>
        <w:rPr>
          <w:rFonts w:ascii="Arial" w:eastAsia="Arial" w:hAnsi="Arial" w:cs="Arial"/>
          <w:i/>
          <w:sz w:val="22"/>
        </w:rPr>
        <w:tab/>
      </w:r>
      <w:r>
        <w:rPr>
          <w:sz w:val="22"/>
        </w:rPr>
        <w:t xml:space="preserve"> </w:t>
      </w:r>
    </w:p>
    <w:p w:rsidR="00A56E09" w:rsidRDefault="00C3193C">
      <w:pPr>
        <w:spacing w:after="56" w:line="259" w:lineRule="auto"/>
        <w:ind w:left="169"/>
      </w:pPr>
      <w:r>
        <w:rPr>
          <w:rFonts w:ascii="Arial" w:eastAsia="Arial" w:hAnsi="Arial" w:cs="Arial"/>
          <w:i/>
          <w:sz w:val="22"/>
        </w:rPr>
        <w:t xml:space="preserve">Reviewed &amp; Revised:  </w:t>
      </w:r>
      <w:r>
        <w:rPr>
          <w:sz w:val="22"/>
        </w:rPr>
        <w:t xml:space="preserve">8/2009 </w:t>
      </w:r>
    </w:p>
    <w:p w:rsidR="00A56E09" w:rsidRDefault="00C3193C">
      <w:pPr>
        <w:tabs>
          <w:tab w:val="center" w:pos="2836"/>
        </w:tabs>
        <w:spacing w:after="56" w:line="259" w:lineRule="auto"/>
        <w:ind w:left="0" w:firstLine="0"/>
      </w:pPr>
      <w:r>
        <w:rPr>
          <w:rFonts w:ascii="Arial" w:eastAsia="Arial" w:hAnsi="Arial" w:cs="Arial"/>
          <w:i/>
          <w:sz w:val="22"/>
        </w:rPr>
        <w:t xml:space="preserve">Review Responsibility: </w:t>
      </w:r>
      <w:r>
        <w:rPr>
          <w:rFonts w:ascii="Arial" w:eastAsia="Arial" w:hAnsi="Arial" w:cs="Arial"/>
          <w:i/>
          <w:sz w:val="22"/>
        </w:rPr>
        <w:tab/>
      </w:r>
      <w:r>
        <w:rPr>
          <w:sz w:val="22"/>
        </w:rPr>
        <w:t xml:space="preserve">Executive Office  </w:t>
      </w:r>
    </w:p>
    <w:p w:rsidR="00A56E09" w:rsidRDefault="00C3193C">
      <w:pPr>
        <w:tabs>
          <w:tab w:val="center" w:pos="1149"/>
          <w:tab w:val="center" w:pos="2547"/>
        </w:tabs>
        <w:spacing w:after="56" w:line="259" w:lineRule="auto"/>
        <w:ind w:left="0" w:firstLine="0"/>
      </w:pPr>
      <w:r>
        <w:rPr>
          <w:rFonts w:ascii="Calibri" w:eastAsia="Calibri" w:hAnsi="Calibri" w:cs="Calibri"/>
          <w:sz w:val="22"/>
        </w:rPr>
        <w:tab/>
      </w:r>
      <w:r>
        <w:rPr>
          <w:rFonts w:ascii="Arial" w:eastAsia="Arial" w:hAnsi="Arial" w:cs="Arial"/>
          <w:i/>
          <w:sz w:val="22"/>
        </w:rPr>
        <w:t xml:space="preserve">Next Review Due: </w:t>
      </w:r>
      <w:r>
        <w:rPr>
          <w:rFonts w:ascii="Arial" w:eastAsia="Arial" w:hAnsi="Arial" w:cs="Arial"/>
          <w:i/>
          <w:sz w:val="22"/>
        </w:rPr>
        <w:tab/>
      </w:r>
      <w:r>
        <w:rPr>
          <w:sz w:val="22"/>
        </w:rPr>
        <w:t xml:space="preserve">As needed </w:t>
      </w:r>
    </w:p>
    <w:p w:rsidR="00A56E09" w:rsidRDefault="00C3193C">
      <w:pPr>
        <w:spacing w:line="259" w:lineRule="auto"/>
        <w:ind w:left="0" w:firstLine="0"/>
      </w:pPr>
      <w:r>
        <w:t xml:space="preserve"> </w:t>
      </w:r>
    </w:p>
    <w:sectPr w:rsidR="00A56E09">
      <w:footerReference w:type="even" r:id="rId7"/>
      <w:footerReference w:type="default" r:id="rId8"/>
      <w:footerReference w:type="first" r:id="rId9"/>
      <w:pgSz w:w="12240" w:h="15840"/>
      <w:pgMar w:top="1440" w:right="1746" w:bottom="1570" w:left="1800" w:header="720"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3193C">
      <w:pPr>
        <w:spacing w:line="240" w:lineRule="auto"/>
      </w:pPr>
      <w:r>
        <w:separator/>
      </w:r>
    </w:p>
  </w:endnote>
  <w:endnote w:type="continuationSeparator" w:id="0">
    <w:p w:rsidR="00000000" w:rsidRDefault="00C31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E09" w:rsidRDefault="00C3193C">
    <w:pPr>
      <w:spacing w:line="259" w:lineRule="auto"/>
      <w:ind w:left="0" w:firstLine="0"/>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4</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E09" w:rsidRDefault="00C3193C">
    <w:pPr>
      <w:spacing w:line="259" w:lineRule="auto"/>
      <w:ind w:left="0" w:firstLine="0"/>
    </w:pPr>
    <w:r>
      <w:rPr>
        <w:sz w:val="20"/>
      </w:rPr>
      <w:t xml:space="preserve">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4</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E09" w:rsidRDefault="00C3193C">
    <w:pPr>
      <w:spacing w:line="259" w:lineRule="auto"/>
      <w:ind w:left="0" w:firstLine="0"/>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4</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3193C">
      <w:pPr>
        <w:spacing w:line="240" w:lineRule="auto"/>
      </w:pPr>
      <w:r>
        <w:separator/>
      </w:r>
    </w:p>
  </w:footnote>
  <w:footnote w:type="continuationSeparator" w:id="0">
    <w:p w:rsidR="00000000" w:rsidRDefault="00C319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09"/>
    <w:rsid w:val="00A56E09"/>
    <w:rsid w:val="00C3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99C79-292E-46CE-9566-49FCF8E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467"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CLASS III DOCUMENT</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III DOCUMENT</dc:title>
  <dc:subject/>
  <dc:creator>lschneider</dc:creator>
  <cp:keywords/>
  <cp:lastModifiedBy>Rahn Snyder</cp:lastModifiedBy>
  <cp:revision>2</cp:revision>
  <dcterms:created xsi:type="dcterms:W3CDTF">2020-01-17T19:51:00Z</dcterms:created>
  <dcterms:modified xsi:type="dcterms:W3CDTF">2020-01-17T19:51:00Z</dcterms:modified>
</cp:coreProperties>
</file>