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BC" w:rsidRDefault="00A3713A" w:rsidP="00294DBC">
      <w:pPr>
        <w:autoSpaceDE w:val="0"/>
        <w:autoSpaceDN w:val="0"/>
        <w:adjustRightInd w:val="0"/>
        <w:spacing w:after="0" w:line="240" w:lineRule="auto"/>
        <w:rPr>
          <w:rFonts w:eastAsia="CalibriBold" w:cs="CalibriBold"/>
          <w:b/>
          <w:bCs/>
          <w:sz w:val="18"/>
          <w:szCs w:val="18"/>
        </w:rPr>
      </w:pPr>
      <w:bookmarkStart w:id="0" w:name="_GoBack"/>
      <w:bookmarkEnd w:id="0"/>
      <w:r w:rsidRPr="00102BB1">
        <w:rPr>
          <w:rFonts w:eastAsia="CalibriBold" w:cs="CalibriBold"/>
          <w:b/>
          <w:bCs/>
          <w:sz w:val="18"/>
          <w:szCs w:val="18"/>
        </w:rPr>
        <w:t>PRESENT:</w:t>
      </w:r>
      <w:r w:rsidR="006C46EE">
        <w:rPr>
          <w:rFonts w:eastAsia="CalibriBold" w:cs="CalibriBold"/>
          <w:b/>
          <w:bCs/>
          <w:sz w:val="18"/>
          <w:szCs w:val="18"/>
        </w:rPr>
        <w:t xml:space="preserve"> </w:t>
      </w:r>
      <w:r w:rsidR="00294DBC">
        <w:rPr>
          <w:rFonts w:eastAsia="CalibriBold" w:cs="CalibriBold"/>
          <w:b/>
          <w:bCs/>
          <w:sz w:val="18"/>
          <w:szCs w:val="18"/>
        </w:rPr>
        <w:t xml:space="preserve">Laura Silver, Gary Haskins, Bethany Glover, Mary Anne </w:t>
      </w:r>
      <w:proofErr w:type="spellStart"/>
      <w:r w:rsidR="00294DBC">
        <w:rPr>
          <w:rFonts w:eastAsia="CalibriBold" w:cs="CalibriBold"/>
          <w:b/>
          <w:bCs/>
          <w:sz w:val="18"/>
          <w:szCs w:val="18"/>
        </w:rPr>
        <w:t>Giannini</w:t>
      </w:r>
      <w:proofErr w:type="spellEnd"/>
      <w:r w:rsidR="00294DBC">
        <w:rPr>
          <w:rFonts w:eastAsia="CalibriBold" w:cs="CalibriBold"/>
          <w:b/>
          <w:bCs/>
          <w:sz w:val="18"/>
          <w:szCs w:val="18"/>
        </w:rPr>
        <w:t>, Craig Gilliam, Brenda Mitchell, Heather Jackson, Mini George, Tracey Do</w:t>
      </w:r>
      <w:r w:rsidR="004052CD">
        <w:rPr>
          <w:rFonts w:eastAsia="CalibriBold" w:cs="CalibriBold"/>
          <w:b/>
          <w:bCs/>
          <w:sz w:val="18"/>
          <w:szCs w:val="18"/>
        </w:rPr>
        <w:t>ss, Cindy York, Stephanie Bosgraaf</w:t>
      </w:r>
      <w:r w:rsidR="00294DBC">
        <w:rPr>
          <w:rFonts w:eastAsia="CalibriBold" w:cs="CalibriBold"/>
          <w:b/>
          <w:bCs/>
          <w:sz w:val="18"/>
          <w:szCs w:val="18"/>
        </w:rPr>
        <w:t xml:space="preserve">, Juanita Holland, Lisa Barton, Dianne Dowdy, Lynne Lancaster, Maria Luckett, </w:t>
      </w:r>
      <w:proofErr w:type="spellStart"/>
      <w:r w:rsidR="00294DBC">
        <w:rPr>
          <w:rFonts w:eastAsia="CalibriBold" w:cs="CalibriBold"/>
          <w:b/>
          <w:bCs/>
          <w:sz w:val="18"/>
          <w:szCs w:val="18"/>
        </w:rPr>
        <w:t>Jerrika</w:t>
      </w:r>
      <w:proofErr w:type="spellEnd"/>
      <w:r w:rsidR="00294DBC">
        <w:rPr>
          <w:rFonts w:eastAsia="CalibriBold" w:cs="CalibriBold"/>
          <w:b/>
          <w:bCs/>
          <w:sz w:val="18"/>
          <w:szCs w:val="18"/>
        </w:rPr>
        <w:t xml:space="preserve"> Alexander, Marisa Hopper, Sharon Helton, Joy Joyner.</w:t>
      </w:r>
    </w:p>
    <w:p w:rsidR="00E5281A" w:rsidRDefault="00E5281A" w:rsidP="00294DBC">
      <w:pPr>
        <w:autoSpaceDE w:val="0"/>
        <w:autoSpaceDN w:val="0"/>
        <w:adjustRightInd w:val="0"/>
        <w:spacing w:after="0" w:line="240" w:lineRule="auto"/>
        <w:rPr>
          <w:rFonts w:eastAsia="CalibriBold" w:cs="CalibriBold"/>
          <w:b/>
          <w:bCs/>
          <w:sz w:val="18"/>
          <w:szCs w:val="18"/>
        </w:rPr>
      </w:pPr>
    </w:p>
    <w:p w:rsidR="00C07FC9" w:rsidRDefault="00C07FC9" w:rsidP="00A3713A">
      <w:pPr>
        <w:autoSpaceDE w:val="0"/>
        <w:autoSpaceDN w:val="0"/>
        <w:adjustRightInd w:val="0"/>
        <w:spacing w:after="0" w:line="240" w:lineRule="auto"/>
        <w:rPr>
          <w:rFonts w:eastAsia="CalibriBold" w:cs="CalibriBold"/>
          <w:b/>
          <w:bCs/>
          <w:sz w:val="18"/>
          <w:szCs w:val="18"/>
        </w:rPr>
      </w:pPr>
    </w:p>
    <w:p w:rsidR="00C07FC9" w:rsidRDefault="00C07FC9" w:rsidP="00A3713A">
      <w:pPr>
        <w:autoSpaceDE w:val="0"/>
        <w:autoSpaceDN w:val="0"/>
        <w:adjustRightInd w:val="0"/>
        <w:spacing w:after="0" w:line="240" w:lineRule="auto"/>
        <w:rPr>
          <w:rFonts w:eastAsia="CalibriBold" w:cs="CalibriBold"/>
          <w:b/>
          <w:bCs/>
          <w:sz w:val="18"/>
          <w:szCs w:val="18"/>
        </w:rPr>
      </w:pPr>
    </w:p>
    <w:p w:rsidR="00A3713A" w:rsidRPr="00102BB1" w:rsidRDefault="00A3713A" w:rsidP="00A3713A">
      <w:pPr>
        <w:autoSpaceDE w:val="0"/>
        <w:autoSpaceDN w:val="0"/>
        <w:adjustRightInd w:val="0"/>
        <w:spacing w:after="0" w:line="240" w:lineRule="auto"/>
        <w:rPr>
          <w:rFonts w:eastAsia="CalibriBold" w:cs="Calibri"/>
          <w:sz w:val="18"/>
          <w:szCs w:val="18"/>
        </w:rPr>
      </w:pPr>
      <w:r w:rsidRPr="00102BB1">
        <w:rPr>
          <w:rFonts w:eastAsia="CalibriBold" w:cs="Calibri"/>
          <w:sz w:val="18"/>
          <w:szCs w:val="18"/>
        </w:rPr>
        <w:t>The meeting was called to or</w:t>
      </w:r>
      <w:r w:rsidR="00BC1D15">
        <w:rPr>
          <w:rFonts w:eastAsia="CalibriBold" w:cs="Calibri"/>
          <w:sz w:val="18"/>
          <w:szCs w:val="18"/>
        </w:rPr>
        <w:t xml:space="preserve">der at 12 noon by </w:t>
      </w:r>
      <w:r w:rsidR="0098025B">
        <w:rPr>
          <w:rFonts w:eastAsia="CalibriBold" w:cs="Calibri"/>
          <w:sz w:val="18"/>
          <w:szCs w:val="18"/>
        </w:rPr>
        <w:t>Laura Silver, President</w:t>
      </w:r>
      <w:r w:rsidR="00BC1D15">
        <w:rPr>
          <w:rFonts w:eastAsia="CalibriBold" w:cs="Calibri"/>
          <w:sz w:val="18"/>
          <w:szCs w:val="18"/>
        </w:rPr>
        <w:t>.</w:t>
      </w:r>
    </w:p>
    <w:p w:rsidR="00526147" w:rsidRPr="00A3713A" w:rsidRDefault="00526147" w:rsidP="00F7472B">
      <w:pPr>
        <w:autoSpaceDE w:val="0"/>
        <w:autoSpaceDN w:val="0"/>
        <w:adjustRightInd w:val="0"/>
        <w:spacing w:after="0" w:line="240" w:lineRule="auto"/>
        <w:jc w:val="center"/>
        <w:rPr>
          <w:rFonts w:eastAsia="CalibriBold" w:cs="Calibr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5400"/>
        <w:gridCol w:w="3600"/>
      </w:tblGrid>
      <w:tr w:rsidR="00A3713A" w:rsidTr="00EB6054">
        <w:tc>
          <w:tcPr>
            <w:tcW w:w="4140" w:type="dxa"/>
            <w:shd w:val="clear" w:color="auto" w:fill="DBE5F1" w:themeFill="accent1" w:themeFillTint="33"/>
          </w:tcPr>
          <w:p w:rsidR="00A3713A" w:rsidRPr="00A3713A" w:rsidRDefault="00A3713A" w:rsidP="00F7472B">
            <w:pPr>
              <w:jc w:val="center"/>
              <w:rPr>
                <w:b/>
              </w:rPr>
            </w:pPr>
            <w:r w:rsidRPr="00A3713A">
              <w:rPr>
                <w:b/>
              </w:rPr>
              <w:t>TOPIC</w:t>
            </w:r>
          </w:p>
        </w:tc>
        <w:tc>
          <w:tcPr>
            <w:tcW w:w="5400" w:type="dxa"/>
            <w:shd w:val="clear" w:color="auto" w:fill="DBE5F1" w:themeFill="accent1" w:themeFillTint="33"/>
          </w:tcPr>
          <w:p w:rsidR="00A3713A" w:rsidRPr="00A3713A" w:rsidRDefault="00A3713A" w:rsidP="00F7472B">
            <w:pPr>
              <w:jc w:val="center"/>
              <w:rPr>
                <w:b/>
              </w:rPr>
            </w:pPr>
            <w:r w:rsidRPr="00A3713A">
              <w:rPr>
                <w:b/>
              </w:rPr>
              <w:t>DISCUSSION</w:t>
            </w:r>
            <w:r w:rsidR="005D79FD">
              <w:rPr>
                <w:b/>
              </w:rPr>
              <w:t>/</w:t>
            </w:r>
            <w:r w:rsidRPr="00A3713A">
              <w:rPr>
                <w:b/>
              </w:rPr>
              <w:t>ACTION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:rsidR="00A3713A" w:rsidRPr="00A3713A" w:rsidRDefault="00A3713A" w:rsidP="00F7472B">
            <w:pPr>
              <w:jc w:val="center"/>
              <w:rPr>
                <w:b/>
              </w:rPr>
            </w:pPr>
            <w:r w:rsidRPr="00A3713A">
              <w:rPr>
                <w:b/>
              </w:rPr>
              <w:t>FOLLOW-UP</w:t>
            </w:r>
          </w:p>
        </w:tc>
      </w:tr>
      <w:tr w:rsidR="00A3713A" w:rsidRPr="00102BB1" w:rsidTr="00EB6054">
        <w:tc>
          <w:tcPr>
            <w:tcW w:w="4140" w:type="dxa"/>
          </w:tcPr>
          <w:p w:rsidR="00A3713A" w:rsidRPr="00102BB1" w:rsidRDefault="00A3713A" w:rsidP="00A3713A">
            <w:pPr>
              <w:rPr>
                <w:sz w:val="18"/>
                <w:szCs w:val="18"/>
              </w:rPr>
            </w:pPr>
            <w:r w:rsidRPr="00102BB1">
              <w:rPr>
                <w:sz w:val="18"/>
                <w:szCs w:val="18"/>
              </w:rPr>
              <w:t>Approval of previous meeting minutes</w:t>
            </w:r>
          </w:p>
        </w:tc>
        <w:tc>
          <w:tcPr>
            <w:tcW w:w="5400" w:type="dxa"/>
          </w:tcPr>
          <w:p w:rsidR="00A3713A" w:rsidRPr="00102BB1" w:rsidRDefault="00F52D13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</w:t>
            </w:r>
            <w:r w:rsidR="00A3713A" w:rsidRPr="00102BB1">
              <w:rPr>
                <w:sz w:val="18"/>
                <w:szCs w:val="18"/>
              </w:rPr>
              <w:t xml:space="preserve"> meeting minutes approved.</w:t>
            </w:r>
          </w:p>
        </w:tc>
        <w:tc>
          <w:tcPr>
            <w:tcW w:w="3600" w:type="dxa"/>
          </w:tcPr>
          <w:p w:rsidR="00A3713A" w:rsidRPr="00102BB1" w:rsidRDefault="00A3713A" w:rsidP="00A3713A">
            <w:pPr>
              <w:rPr>
                <w:sz w:val="18"/>
                <w:szCs w:val="18"/>
              </w:rPr>
            </w:pPr>
            <w:r w:rsidRPr="00102BB1">
              <w:rPr>
                <w:sz w:val="18"/>
                <w:szCs w:val="18"/>
              </w:rPr>
              <w:t>None</w:t>
            </w:r>
          </w:p>
        </w:tc>
      </w:tr>
      <w:tr w:rsidR="00D42C0E" w:rsidRPr="00102BB1" w:rsidTr="00EB6054">
        <w:tc>
          <w:tcPr>
            <w:tcW w:w="4140" w:type="dxa"/>
          </w:tcPr>
          <w:p w:rsidR="00D42C0E" w:rsidRDefault="00D42C0E" w:rsidP="00A3713A">
            <w:pPr>
              <w:rPr>
                <w:sz w:val="18"/>
                <w:szCs w:val="18"/>
              </w:rPr>
            </w:pPr>
            <w:r w:rsidRPr="00102BB1">
              <w:rPr>
                <w:sz w:val="18"/>
                <w:szCs w:val="18"/>
              </w:rPr>
              <w:t>Treasurer Report</w:t>
            </w:r>
            <w:r w:rsidR="0098025B">
              <w:rPr>
                <w:sz w:val="18"/>
                <w:szCs w:val="18"/>
              </w:rPr>
              <w:t xml:space="preserve"> </w:t>
            </w:r>
          </w:p>
          <w:p w:rsidR="0098025B" w:rsidRPr="00102BB1" w:rsidRDefault="00294DBC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Joy Joyner for </w:t>
            </w:r>
            <w:r w:rsidR="0098025B">
              <w:rPr>
                <w:sz w:val="18"/>
                <w:szCs w:val="18"/>
              </w:rPr>
              <w:t>Tasha  Richards, Treasurer</w:t>
            </w:r>
          </w:p>
        </w:tc>
        <w:tc>
          <w:tcPr>
            <w:tcW w:w="5400" w:type="dxa"/>
          </w:tcPr>
          <w:p w:rsidR="00F52D13" w:rsidRPr="002D4EDF" w:rsidRDefault="00294DBC" w:rsidP="00D42C0E">
            <w:pPr>
              <w:autoSpaceDE w:val="0"/>
              <w:autoSpaceDN w:val="0"/>
              <w:adjustRightInd w:val="0"/>
              <w:rPr>
                <w:rFonts w:cs="ArialBold"/>
                <w:bCs/>
                <w:sz w:val="18"/>
                <w:szCs w:val="18"/>
              </w:rPr>
            </w:pPr>
            <w:r w:rsidRPr="002D4EDF">
              <w:rPr>
                <w:rFonts w:cs="ArialBold"/>
                <w:bCs/>
                <w:sz w:val="18"/>
                <w:szCs w:val="18"/>
              </w:rPr>
              <w:t xml:space="preserve">February </w:t>
            </w:r>
            <w:r w:rsidR="00F52D13" w:rsidRPr="002D4EDF">
              <w:rPr>
                <w:rFonts w:cs="ArialBold"/>
                <w:bCs/>
                <w:sz w:val="18"/>
                <w:szCs w:val="18"/>
              </w:rPr>
              <w:t>1-</w:t>
            </w:r>
            <w:r w:rsidRPr="002D4EDF">
              <w:rPr>
                <w:rFonts w:cs="ArialBold"/>
                <w:bCs/>
                <w:sz w:val="18"/>
                <w:szCs w:val="18"/>
              </w:rPr>
              <w:t>28</w:t>
            </w:r>
            <w:r w:rsidR="00F52D13" w:rsidRPr="002D4EDF">
              <w:rPr>
                <w:rFonts w:cs="ArialBold"/>
                <w:bCs/>
                <w:sz w:val="18"/>
                <w:szCs w:val="18"/>
              </w:rPr>
              <w:t>, 2019</w:t>
            </w:r>
          </w:p>
          <w:p w:rsidR="00D42C0E" w:rsidRPr="002D4EDF" w:rsidRDefault="00D42C0E" w:rsidP="00D42C0E">
            <w:pPr>
              <w:autoSpaceDE w:val="0"/>
              <w:autoSpaceDN w:val="0"/>
              <w:adjustRightInd w:val="0"/>
              <w:rPr>
                <w:rFonts w:cs="ArialBold"/>
                <w:bCs/>
                <w:sz w:val="18"/>
                <w:szCs w:val="18"/>
              </w:rPr>
            </w:pPr>
            <w:r w:rsidRPr="002D4EDF">
              <w:rPr>
                <w:rFonts w:cs="ArialBold"/>
                <w:bCs/>
                <w:sz w:val="18"/>
                <w:szCs w:val="18"/>
              </w:rPr>
              <w:t>Checking account</w:t>
            </w:r>
            <w:r w:rsidR="00F52D13" w:rsidRPr="002D4EDF">
              <w:rPr>
                <w:rFonts w:cs="ArialBold"/>
                <w:bCs/>
                <w:sz w:val="18"/>
                <w:szCs w:val="18"/>
              </w:rPr>
              <w:t xml:space="preserve"> Balance: $11,</w:t>
            </w:r>
            <w:r w:rsidR="00294DBC" w:rsidRPr="002D4EDF">
              <w:rPr>
                <w:rFonts w:cs="ArialBold"/>
                <w:bCs/>
                <w:sz w:val="18"/>
                <w:szCs w:val="18"/>
              </w:rPr>
              <w:t>975</w:t>
            </w:r>
            <w:r w:rsidR="00F52D13" w:rsidRPr="002D4EDF">
              <w:rPr>
                <w:rFonts w:cs="ArialBold"/>
                <w:bCs/>
                <w:sz w:val="18"/>
                <w:szCs w:val="18"/>
              </w:rPr>
              <w:t>.34</w:t>
            </w:r>
          </w:p>
          <w:p w:rsidR="00D42C0E" w:rsidRPr="002D4EDF" w:rsidRDefault="00D42C0E" w:rsidP="00D42C0E">
            <w:pPr>
              <w:autoSpaceDE w:val="0"/>
              <w:autoSpaceDN w:val="0"/>
              <w:adjustRightInd w:val="0"/>
              <w:rPr>
                <w:rFonts w:cs="ArialBold"/>
                <w:bCs/>
                <w:sz w:val="18"/>
                <w:szCs w:val="18"/>
              </w:rPr>
            </w:pPr>
            <w:r w:rsidRPr="002D4EDF">
              <w:rPr>
                <w:rFonts w:cs="ArialBold"/>
                <w:bCs/>
                <w:sz w:val="18"/>
                <w:szCs w:val="18"/>
              </w:rPr>
              <w:t>CD</w:t>
            </w:r>
            <w:r w:rsidR="00F52D13" w:rsidRPr="002D4EDF">
              <w:rPr>
                <w:rFonts w:cs="ArialBold"/>
                <w:bCs/>
                <w:sz w:val="18"/>
                <w:szCs w:val="18"/>
              </w:rPr>
              <w:t>: $15,503.77</w:t>
            </w:r>
          </w:p>
          <w:p w:rsidR="00F52D13" w:rsidRPr="002D4EDF" w:rsidRDefault="00F52D13" w:rsidP="00D42C0E">
            <w:pPr>
              <w:autoSpaceDE w:val="0"/>
              <w:autoSpaceDN w:val="0"/>
              <w:adjustRightInd w:val="0"/>
              <w:rPr>
                <w:rFonts w:cs="ArialBold"/>
                <w:bCs/>
                <w:sz w:val="18"/>
                <w:szCs w:val="18"/>
              </w:rPr>
            </w:pPr>
            <w:r w:rsidRPr="002D4EDF">
              <w:rPr>
                <w:rFonts w:cs="ArialBold"/>
                <w:bCs/>
                <w:sz w:val="18"/>
                <w:szCs w:val="18"/>
              </w:rPr>
              <w:t>Grand Total: $27,</w:t>
            </w:r>
            <w:r w:rsidR="00294DBC" w:rsidRPr="002D4EDF">
              <w:rPr>
                <w:rFonts w:cs="ArialBold"/>
                <w:bCs/>
                <w:sz w:val="18"/>
                <w:szCs w:val="18"/>
              </w:rPr>
              <w:t>479</w:t>
            </w:r>
            <w:r w:rsidRPr="002D4EDF">
              <w:rPr>
                <w:rFonts w:cs="ArialBold"/>
                <w:bCs/>
                <w:sz w:val="18"/>
                <w:szCs w:val="18"/>
              </w:rPr>
              <w:t>.11</w:t>
            </w:r>
          </w:p>
          <w:p w:rsidR="00D42C0E" w:rsidRPr="002D4EDF" w:rsidRDefault="00D42C0E" w:rsidP="0098025B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D42C0E" w:rsidRPr="00102BB1" w:rsidRDefault="00D42C0E" w:rsidP="00A3713A">
            <w:pPr>
              <w:rPr>
                <w:sz w:val="18"/>
                <w:szCs w:val="18"/>
              </w:rPr>
            </w:pPr>
            <w:r w:rsidRPr="00102BB1">
              <w:rPr>
                <w:sz w:val="18"/>
                <w:szCs w:val="18"/>
              </w:rPr>
              <w:t>None</w:t>
            </w:r>
          </w:p>
        </w:tc>
      </w:tr>
      <w:tr w:rsidR="00F52D13" w:rsidRPr="00102BB1" w:rsidTr="00F52D13">
        <w:trPr>
          <w:trHeight w:val="917"/>
        </w:trPr>
        <w:tc>
          <w:tcPr>
            <w:tcW w:w="4140" w:type="dxa"/>
          </w:tcPr>
          <w:p w:rsidR="00F52D13" w:rsidRDefault="0024014F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Shelby County Health Department</w:t>
            </w:r>
          </w:p>
          <w:p w:rsidR="0024014F" w:rsidRPr="00102BB1" w:rsidRDefault="0024014F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Marisa Hopper</w:t>
            </w:r>
          </w:p>
        </w:tc>
        <w:tc>
          <w:tcPr>
            <w:tcW w:w="5400" w:type="dxa"/>
          </w:tcPr>
          <w:p w:rsidR="00F52D13" w:rsidRPr="002D4EDF" w:rsidRDefault="00E5281A" w:rsidP="0024014F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 xml:space="preserve">Mostly influenza </w:t>
            </w:r>
            <w:proofErr w:type="gramStart"/>
            <w:r w:rsidRPr="002D4EDF">
              <w:rPr>
                <w:sz w:val="18"/>
                <w:szCs w:val="18"/>
              </w:rPr>
              <w:t>A</w:t>
            </w:r>
            <w:proofErr w:type="gramEnd"/>
            <w:r w:rsidRPr="002D4EDF">
              <w:rPr>
                <w:sz w:val="18"/>
                <w:szCs w:val="18"/>
              </w:rPr>
              <w:t xml:space="preserve"> cases this season. </w:t>
            </w:r>
          </w:p>
          <w:p w:rsidR="00E5281A" w:rsidRPr="002D4EDF" w:rsidRDefault="00E5281A" w:rsidP="0024014F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>Have not seen as surge yet in influenza B like we did last year.</w:t>
            </w:r>
          </w:p>
          <w:p w:rsidR="00E5281A" w:rsidRPr="002D4EDF" w:rsidRDefault="00E5281A" w:rsidP="00E5281A">
            <w:pPr>
              <w:pStyle w:val="ListParagraph"/>
              <w:rPr>
                <w:sz w:val="18"/>
                <w:szCs w:val="18"/>
              </w:rPr>
            </w:pPr>
          </w:p>
          <w:p w:rsidR="0024014F" w:rsidRPr="002D4EDF" w:rsidRDefault="0024014F" w:rsidP="00E5281A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F52D13" w:rsidRPr="00102BB1" w:rsidRDefault="0024014F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</w:tr>
      <w:tr w:rsidR="00A3713A" w:rsidRPr="00102BB1" w:rsidTr="00EB6054">
        <w:tc>
          <w:tcPr>
            <w:tcW w:w="4140" w:type="dxa"/>
          </w:tcPr>
          <w:p w:rsidR="00E5281A" w:rsidRDefault="00C07FC9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Education Presentation by </w:t>
            </w:r>
            <w:proofErr w:type="spellStart"/>
            <w:r w:rsidR="00E5281A">
              <w:rPr>
                <w:sz w:val="18"/>
                <w:szCs w:val="18"/>
              </w:rPr>
              <w:t>Phigenics</w:t>
            </w:r>
            <w:proofErr w:type="spellEnd"/>
          </w:p>
          <w:p w:rsidR="00C07FC9" w:rsidRDefault="00C07FC9" w:rsidP="00A37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Presenter</w:t>
            </w:r>
            <w:r w:rsidR="00E5281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: </w:t>
            </w:r>
            <w:r w:rsidR="00E5281A">
              <w:rPr>
                <w:sz w:val="18"/>
                <w:szCs w:val="18"/>
              </w:rPr>
              <w:t>Jim Henderson and Adam Thornton</w:t>
            </w:r>
          </w:p>
          <w:p w:rsidR="00C30E3E" w:rsidRDefault="00C30E3E" w:rsidP="00A3713A">
            <w:pPr>
              <w:rPr>
                <w:sz w:val="18"/>
                <w:szCs w:val="18"/>
              </w:rPr>
            </w:pPr>
          </w:p>
          <w:p w:rsidR="00C07FC9" w:rsidRPr="00E5281A" w:rsidRDefault="00E5281A" w:rsidP="00A3713A">
            <w:pPr>
              <w:rPr>
                <w:i/>
                <w:sz w:val="18"/>
                <w:szCs w:val="18"/>
              </w:rPr>
            </w:pPr>
            <w:proofErr w:type="spellStart"/>
            <w:r w:rsidRPr="00E5281A">
              <w:rPr>
                <w:i/>
                <w:sz w:val="18"/>
                <w:szCs w:val="18"/>
              </w:rPr>
              <w:t>Legionellosis</w:t>
            </w:r>
            <w:proofErr w:type="spellEnd"/>
            <w:r w:rsidRPr="00E5281A">
              <w:rPr>
                <w:i/>
                <w:sz w:val="18"/>
                <w:szCs w:val="18"/>
              </w:rPr>
              <w:t>: Risk Management for Building Water Systems</w:t>
            </w:r>
          </w:p>
          <w:p w:rsidR="00F52D13" w:rsidRPr="00102BB1" w:rsidRDefault="00F52D13" w:rsidP="00A3713A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C30E3E" w:rsidRPr="002D4EDF" w:rsidRDefault="00C30E3E" w:rsidP="00E528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>(see slides)</w:t>
            </w:r>
          </w:p>
          <w:p w:rsidR="00F34BBB" w:rsidRPr="002D4EDF" w:rsidRDefault="00F34BBB" w:rsidP="00E528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>Handout: 7 Steps of the Sustainable Comprehensive Water Management Program</w:t>
            </w:r>
          </w:p>
          <w:p w:rsidR="00F34BBB" w:rsidRPr="002D4EDF" w:rsidRDefault="00F34BBB" w:rsidP="00F34BB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>Form a team</w:t>
            </w:r>
          </w:p>
          <w:p w:rsidR="00F34BBB" w:rsidRPr="002D4EDF" w:rsidRDefault="00F34BBB" w:rsidP="00F34BB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>Develop program goals</w:t>
            </w:r>
          </w:p>
          <w:p w:rsidR="00F34BBB" w:rsidRPr="002D4EDF" w:rsidRDefault="00F34BBB" w:rsidP="00F34BB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>Describe water systems</w:t>
            </w:r>
          </w:p>
          <w:p w:rsidR="00F34BBB" w:rsidRPr="002D4EDF" w:rsidRDefault="00F34BBB" w:rsidP="00F34BB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>Analyze water systems for safety and efficiency</w:t>
            </w:r>
          </w:p>
          <w:p w:rsidR="00F34BBB" w:rsidRPr="002D4EDF" w:rsidRDefault="00F34BBB" w:rsidP="00F34BB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>Specify control locations, critical limits, monitoring and corrective actions</w:t>
            </w:r>
          </w:p>
          <w:p w:rsidR="00F34BBB" w:rsidRPr="002D4EDF" w:rsidRDefault="00F34BBB" w:rsidP="00F34BB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>Develop verification strategy</w:t>
            </w:r>
          </w:p>
          <w:p w:rsidR="00F34BBB" w:rsidRPr="002D4EDF" w:rsidRDefault="00F34BBB" w:rsidP="00F34BBB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18"/>
                <w:szCs w:val="18"/>
              </w:rPr>
            </w:pPr>
            <w:r w:rsidRPr="002D4EDF">
              <w:rPr>
                <w:sz w:val="18"/>
                <w:szCs w:val="18"/>
              </w:rPr>
              <w:t>Develop validation strategy</w:t>
            </w:r>
          </w:p>
          <w:p w:rsidR="00F34BBB" w:rsidRPr="002D4EDF" w:rsidRDefault="00F34BBB" w:rsidP="00E528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A3713A" w:rsidRDefault="00A3713A" w:rsidP="00A3713A">
            <w:pPr>
              <w:rPr>
                <w:sz w:val="18"/>
                <w:szCs w:val="18"/>
              </w:rPr>
            </w:pPr>
          </w:p>
          <w:p w:rsidR="006040F1" w:rsidRDefault="006040F1" w:rsidP="00A3713A">
            <w:pPr>
              <w:rPr>
                <w:sz w:val="18"/>
                <w:szCs w:val="18"/>
              </w:rPr>
            </w:pPr>
          </w:p>
          <w:p w:rsidR="006040F1" w:rsidRDefault="006040F1" w:rsidP="00A3713A">
            <w:pPr>
              <w:rPr>
                <w:sz w:val="18"/>
                <w:szCs w:val="18"/>
              </w:rPr>
            </w:pPr>
          </w:p>
          <w:p w:rsidR="006040F1" w:rsidRPr="00102BB1" w:rsidRDefault="006040F1" w:rsidP="00881253">
            <w:pPr>
              <w:rPr>
                <w:sz w:val="18"/>
                <w:szCs w:val="18"/>
              </w:rPr>
            </w:pPr>
          </w:p>
        </w:tc>
      </w:tr>
      <w:tr w:rsidR="006B46B7" w:rsidRPr="00102BB1" w:rsidTr="00EB6054">
        <w:tc>
          <w:tcPr>
            <w:tcW w:w="4140" w:type="dxa"/>
          </w:tcPr>
          <w:p w:rsidR="006B46B7" w:rsidRDefault="006B46B7" w:rsidP="00FE0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Next APIC Meeting</w:t>
            </w:r>
          </w:p>
          <w:p w:rsidR="00EB6054" w:rsidRDefault="00EB6054" w:rsidP="00FE06BF">
            <w:pPr>
              <w:rPr>
                <w:sz w:val="18"/>
                <w:szCs w:val="18"/>
              </w:rPr>
            </w:pPr>
          </w:p>
          <w:p w:rsidR="00EB6054" w:rsidRDefault="00EB6054" w:rsidP="00FE06BF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</w:tcPr>
          <w:p w:rsidR="00C07FC9" w:rsidRPr="002D4EDF" w:rsidRDefault="00F34BBB" w:rsidP="00C07FC9">
            <w:pPr>
              <w:rPr>
                <w:color w:val="000000"/>
                <w:sz w:val="18"/>
                <w:szCs w:val="18"/>
              </w:rPr>
            </w:pPr>
            <w:r w:rsidRPr="002D4EDF">
              <w:rPr>
                <w:color w:val="000000"/>
                <w:sz w:val="18"/>
                <w:szCs w:val="18"/>
              </w:rPr>
              <w:t>April 9, 2019, 12:00 noon at Memphis Jewish Home</w:t>
            </w:r>
          </w:p>
          <w:p w:rsidR="006B46B7" w:rsidRPr="00C34BB9" w:rsidRDefault="006B46B7" w:rsidP="00C34BB9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6B46B7" w:rsidRDefault="006B46B7" w:rsidP="002F5B25">
            <w:pPr>
              <w:rPr>
                <w:sz w:val="18"/>
                <w:szCs w:val="18"/>
              </w:rPr>
            </w:pPr>
          </w:p>
          <w:p w:rsidR="00EB6054" w:rsidRDefault="00EB6054" w:rsidP="00F34BBB">
            <w:pPr>
              <w:rPr>
                <w:sz w:val="18"/>
                <w:szCs w:val="18"/>
              </w:rPr>
            </w:pPr>
          </w:p>
        </w:tc>
      </w:tr>
    </w:tbl>
    <w:p w:rsidR="000450AE" w:rsidRPr="00102BB1" w:rsidRDefault="000450AE" w:rsidP="006F57D1">
      <w:pPr>
        <w:tabs>
          <w:tab w:val="left" w:pos="3498"/>
        </w:tabs>
        <w:rPr>
          <w:sz w:val="18"/>
          <w:szCs w:val="18"/>
        </w:rPr>
      </w:pPr>
    </w:p>
    <w:sectPr w:rsidR="000450AE" w:rsidRPr="00102BB1" w:rsidSect="00102BB1">
      <w:head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E59" w:rsidRDefault="00827E59" w:rsidP="006A12F6">
      <w:pPr>
        <w:spacing w:after="0" w:line="240" w:lineRule="auto"/>
      </w:pPr>
      <w:r>
        <w:separator/>
      </w:r>
    </w:p>
  </w:endnote>
  <w:endnote w:type="continuationSeparator" w:id="0">
    <w:p w:rsidR="00827E59" w:rsidRDefault="00827E59" w:rsidP="006A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E59" w:rsidRDefault="00827E59" w:rsidP="006A12F6">
      <w:pPr>
        <w:spacing w:after="0" w:line="240" w:lineRule="auto"/>
      </w:pPr>
      <w:r>
        <w:separator/>
      </w:r>
    </w:p>
  </w:footnote>
  <w:footnote w:type="continuationSeparator" w:id="0">
    <w:p w:rsidR="00827E59" w:rsidRDefault="00827E59" w:rsidP="006A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F6" w:rsidRDefault="00294DBC" w:rsidP="006A12F6">
    <w:pPr>
      <w:pStyle w:val="Header"/>
      <w:jc w:val="center"/>
    </w:pPr>
    <w:r>
      <w:t xml:space="preserve">March </w:t>
    </w:r>
    <w:r w:rsidR="00F52D13">
      <w:t>12</w:t>
    </w:r>
    <w:r w:rsidR="0098025B">
      <w:t xml:space="preserve">, 2019 </w:t>
    </w:r>
    <w:r w:rsidR="006A12F6">
      <w:t>Minutes</w:t>
    </w:r>
  </w:p>
  <w:p w:rsidR="006A12F6" w:rsidRDefault="006A12F6" w:rsidP="006A12F6">
    <w:pPr>
      <w:pStyle w:val="Header"/>
      <w:jc w:val="center"/>
    </w:pPr>
    <w:r>
      <w:t>APIC Memphis Chapter (007)</w:t>
    </w:r>
  </w:p>
  <w:p w:rsidR="006A12F6" w:rsidRDefault="006A12F6" w:rsidP="006A12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CFE"/>
    <w:multiLevelType w:val="hybridMultilevel"/>
    <w:tmpl w:val="3ED2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05AC"/>
    <w:multiLevelType w:val="hybridMultilevel"/>
    <w:tmpl w:val="76423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04E8F"/>
    <w:multiLevelType w:val="hybridMultilevel"/>
    <w:tmpl w:val="F394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A4CF3"/>
    <w:multiLevelType w:val="hybridMultilevel"/>
    <w:tmpl w:val="32FA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B3C1F"/>
    <w:multiLevelType w:val="hybridMultilevel"/>
    <w:tmpl w:val="4C44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965B0"/>
    <w:multiLevelType w:val="hybridMultilevel"/>
    <w:tmpl w:val="B0983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2F1132"/>
    <w:multiLevelType w:val="hybridMultilevel"/>
    <w:tmpl w:val="73A2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83849"/>
    <w:multiLevelType w:val="hybridMultilevel"/>
    <w:tmpl w:val="EFAA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164B8"/>
    <w:multiLevelType w:val="hybridMultilevel"/>
    <w:tmpl w:val="56EC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56B18"/>
    <w:multiLevelType w:val="hybridMultilevel"/>
    <w:tmpl w:val="87D2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35D12"/>
    <w:multiLevelType w:val="hybridMultilevel"/>
    <w:tmpl w:val="8300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04F22"/>
    <w:multiLevelType w:val="hybridMultilevel"/>
    <w:tmpl w:val="19A4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C7242"/>
    <w:multiLevelType w:val="hybridMultilevel"/>
    <w:tmpl w:val="3D68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70A34"/>
    <w:multiLevelType w:val="hybridMultilevel"/>
    <w:tmpl w:val="3388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75C08"/>
    <w:multiLevelType w:val="hybridMultilevel"/>
    <w:tmpl w:val="EF20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F6"/>
    <w:rsid w:val="000101E0"/>
    <w:rsid w:val="000450AE"/>
    <w:rsid w:val="00102BB1"/>
    <w:rsid w:val="00193EEC"/>
    <w:rsid w:val="001D5FC9"/>
    <w:rsid w:val="001F2284"/>
    <w:rsid w:val="00213BD7"/>
    <w:rsid w:val="0024014F"/>
    <w:rsid w:val="002671B8"/>
    <w:rsid w:val="002719C1"/>
    <w:rsid w:val="00294DBC"/>
    <w:rsid w:val="002D4EDF"/>
    <w:rsid w:val="002E433D"/>
    <w:rsid w:val="00336284"/>
    <w:rsid w:val="003C5253"/>
    <w:rsid w:val="0040222B"/>
    <w:rsid w:val="004052CD"/>
    <w:rsid w:val="00407521"/>
    <w:rsid w:val="00462347"/>
    <w:rsid w:val="0047501C"/>
    <w:rsid w:val="0048336A"/>
    <w:rsid w:val="004B4D4E"/>
    <w:rsid w:val="00526147"/>
    <w:rsid w:val="00544279"/>
    <w:rsid w:val="0059043F"/>
    <w:rsid w:val="005C14C7"/>
    <w:rsid w:val="005D5C6F"/>
    <w:rsid w:val="005D79FD"/>
    <w:rsid w:val="006040F1"/>
    <w:rsid w:val="00697A8D"/>
    <w:rsid w:val="006A12F6"/>
    <w:rsid w:val="006B46B7"/>
    <w:rsid w:val="006C46EE"/>
    <w:rsid w:val="006F57D1"/>
    <w:rsid w:val="00711517"/>
    <w:rsid w:val="007167A5"/>
    <w:rsid w:val="007C34FC"/>
    <w:rsid w:val="007D6F29"/>
    <w:rsid w:val="00827E59"/>
    <w:rsid w:val="00851317"/>
    <w:rsid w:val="008678B6"/>
    <w:rsid w:val="00881253"/>
    <w:rsid w:val="00881FF4"/>
    <w:rsid w:val="008A3B93"/>
    <w:rsid w:val="009229FF"/>
    <w:rsid w:val="0098025B"/>
    <w:rsid w:val="00991DA5"/>
    <w:rsid w:val="009F093A"/>
    <w:rsid w:val="00A3713A"/>
    <w:rsid w:val="00A649B5"/>
    <w:rsid w:val="00B06F36"/>
    <w:rsid w:val="00B145B4"/>
    <w:rsid w:val="00B617A0"/>
    <w:rsid w:val="00B94293"/>
    <w:rsid w:val="00BC1D15"/>
    <w:rsid w:val="00BF412E"/>
    <w:rsid w:val="00C07FC9"/>
    <w:rsid w:val="00C22C57"/>
    <w:rsid w:val="00C30E3E"/>
    <w:rsid w:val="00C34BB9"/>
    <w:rsid w:val="00C96240"/>
    <w:rsid w:val="00CA16FA"/>
    <w:rsid w:val="00CD0A74"/>
    <w:rsid w:val="00D42C0E"/>
    <w:rsid w:val="00D56CA1"/>
    <w:rsid w:val="00D62A06"/>
    <w:rsid w:val="00DD3D4B"/>
    <w:rsid w:val="00E5281A"/>
    <w:rsid w:val="00E60D8F"/>
    <w:rsid w:val="00E81EFA"/>
    <w:rsid w:val="00EB6054"/>
    <w:rsid w:val="00F34BBB"/>
    <w:rsid w:val="00F52D13"/>
    <w:rsid w:val="00F7107A"/>
    <w:rsid w:val="00F7472B"/>
    <w:rsid w:val="00FD0752"/>
    <w:rsid w:val="00FE06BF"/>
    <w:rsid w:val="00FE08D2"/>
    <w:rsid w:val="00FE1CD1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7D8023-1D1B-4F2C-AD3B-21AB7FE9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F6"/>
  </w:style>
  <w:style w:type="paragraph" w:styleId="Footer">
    <w:name w:val="footer"/>
    <w:basedOn w:val="Normal"/>
    <w:link w:val="FooterChar"/>
    <w:uiPriority w:val="99"/>
    <w:unhideWhenUsed/>
    <w:rsid w:val="006A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F6"/>
  </w:style>
  <w:style w:type="table" w:styleId="TableGrid">
    <w:name w:val="Table Grid"/>
    <w:basedOn w:val="TableNormal"/>
    <w:uiPriority w:val="59"/>
    <w:rsid w:val="00A3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2A06"/>
    <w:rPr>
      <w:color w:val="0000FF" w:themeColor="hyperlink"/>
      <w:u w:val="single"/>
    </w:rPr>
  </w:style>
  <w:style w:type="paragraph" w:customStyle="1" w:styleId="Default">
    <w:name w:val="Default"/>
    <w:rsid w:val="0071151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DCA3-84C5-4B8D-AE2E-04F0BF4A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Le Bonheur Healthcare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Barton</dc:creator>
  <cp:lastModifiedBy>Sarah Carmack</cp:lastModifiedBy>
  <cp:revision>2</cp:revision>
  <dcterms:created xsi:type="dcterms:W3CDTF">2020-01-23T20:42:00Z</dcterms:created>
  <dcterms:modified xsi:type="dcterms:W3CDTF">2020-01-23T20:42:00Z</dcterms:modified>
</cp:coreProperties>
</file>