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3F" w:rsidRDefault="00AE22EC" w:rsidP="00AE22EC">
      <w:pPr>
        <w:spacing w:after="0" w:line="240" w:lineRule="auto"/>
      </w:pPr>
      <w:bookmarkStart w:id="0" w:name="_GoBack"/>
      <w:bookmarkEnd w:id="0"/>
      <w:r>
        <w:t>Public Policy Report</w:t>
      </w:r>
    </w:p>
    <w:p w:rsidR="00AE22EC" w:rsidRDefault="00AE22EC" w:rsidP="00AE22EC">
      <w:pPr>
        <w:spacing w:after="0" w:line="240" w:lineRule="auto"/>
      </w:pPr>
      <w:r>
        <w:t>APIC-SFBA Members Meeting</w:t>
      </w:r>
    </w:p>
    <w:p w:rsidR="00AE22EC" w:rsidRDefault="00AE22EC" w:rsidP="00AE22EC">
      <w:pPr>
        <w:spacing w:after="0" w:line="240" w:lineRule="auto"/>
      </w:pPr>
      <w:r>
        <w:t xml:space="preserve">Amy Nichols, RN, MBA, CIC, </w:t>
      </w:r>
    </w:p>
    <w:p w:rsidR="00AE22EC" w:rsidRDefault="00AE22EC" w:rsidP="00AE22EC">
      <w:pPr>
        <w:spacing w:after="0" w:line="240" w:lineRule="auto"/>
      </w:pPr>
      <w:r>
        <w:t>Public Policy Chair</w:t>
      </w:r>
      <w:r>
        <w:tab/>
      </w:r>
      <w:r>
        <w:tab/>
      </w:r>
      <w:r>
        <w:tab/>
      </w:r>
      <w:r>
        <w:tab/>
      </w:r>
      <w:r>
        <w:tab/>
      </w:r>
      <w:r>
        <w:tab/>
      </w:r>
      <w:r>
        <w:tab/>
        <w:t>Updated for February 10, 2016</w:t>
      </w:r>
    </w:p>
    <w:p w:rsidR="00AE22EC" w:rsidRDefault="00AE22EC" w:rsidP="00AE22EC">
      <w:pPr>
        <w:tabs>
          <w:tab w:val="left" w:pos="7560"/>
        </w:tabs>
        <w:spacing w:after="0" w:line="240" w:lineRule="auto"/>
      </w:pPr>
    </w:p>
    <w:p w:rsidR="00AE22EC" w:rsidRDefault="00AE22EC" w:rsidP="00AE22EC">
      <w:pPr>
        <w:spacing w:after="0" w:line="240" w:lineRule="auto"/>
      </w:pPr>
    </w:p>
    <w:tbl>
      <w:tblPr>
        <w:tblStyle w:val="TableGrid"/>
        <w:tblW w:w="0" w:type="auto"/>
        <w:tblLayout w:type="fixed"/>
        <w:tblLook w:val="04A0" w:firstRow="1" w:lastRow="0" w:firstColumn="1" w:lastColumn="0" w:noHBand="0" w:noVBand="1"/>
      </w:tblPr>
      <w:tblGrid>
        <w:gridCol w:w="440"/>
        <w:gridCol w:w="1277"/>
        <w:gridCol w:w="1147"/>
        <w:gridCol w:w="6514"/>
        <w:gridCol w:w="1620"/>
      </w:tblGrid>
      <w:tr w:rsidR="006F239D" w:rsidRPr="00174377" w:rsidTr="00174377">
        <w:trPr>
          <w:cantSplit/>
          <w:tblHeader/>
        </w:trPr>
        <w:tc>
          <w:tcPr>
            <w:tcW w:w="440" w:type="dxa"/>
            <w:shd w:val="clear" w:color="auto" w:fill="D9D9D9" w:themeFill="background1" w:themeFillShade="D9"/>
          </w:tcPr>
          <w:p w:rsidR="00AE22EC" w:rsidRPr="00174377" w:rsidRDefault="00AE22EC" w:rsidP="00AE22EC">
            <w:pPr>
              <w:jc w:val="center"/>
              <w:rPr>
                <w:rFonts w:cstheme="minorHAnsi"/>
                <w:b/>
                <w:sz w:val="20"/>
                <w:szCs w:val="20"/>
              </w:rPr>
            </w:pPr>
          </w:p>
        </w:tc>
        <w:tc>
          <w:tcPr>
            <w:tcW w:w="1277" w:type="dxa"/>
            <w:shd w:val="clear" w:color="auto" w:fill="D9D9D9" w:themeFill="background1" w:themeFillShade="D9"/>
          </w:tcPr>
          <w:p w:rsidR="00AE22EC" w:rsidRPr="00174377" w:rsidRDefault="00AE22EC" w:rsidP="00AE22EC">
            <w:pPr>
              <w:jc w:val="center"/>
              <w:rPr>
                <w:rFonts w:cstheme="minorHAnsi"/>
                <w:b/>
                <w:sz w:val="20"/>
                <w:szCs w:val="20"/>
              </w:rPr>
            </w:pPr>
            <w:r w:rsidRPr="00174377">
              <w:rPr>
                <w:rFonts w:cstheme="minorHAnsi"/>
                <w:b/>
                <w:sz w:val="20"/>
                <w:szCs w:val="20"/>
              </w:rPr>
              <w:t>Item</w:t>
            </w:r>
          </w:p>
        </w:tc>
        <w:tc>
          <w:tcPr>
            <w:tcW w:w="1147" w:type="dxa"/>
            <w:shd w:val="clear" w:color="auto" w:fill="D9D9D9" w:themeFill="background1" w:themeFillShade="D9"/>
          </w:tcPr>
          <w:p w:rsidR="00AE22EC" w:rsidRPr="00174377" w:rsidRDefault="00AE22EC" w:rsidP="00412299">
            <w:pPr>
              <w:jc w:val="center"/>
              <w:rPr>
                <w:rFonts w:cstheme="minorHAnsi"/>
                <w:b/>
                <w:sz w:val="20"/>
                <w:szCs w:val="20"/>
              </w:rPr>
            </w:pPr>
            <w:r w:rsidRPr="00174377">
              <w:rPr>
                <w:rFonts w:cstheme="minorHAnsi"/>
                <w:b/>
                <w:sz w:val="20"/>
                <w:szCs w:val="20"/>
              </w:rPr>
              <w:t>Origin</w:t>
            </w:r>
          </w:p>
        </w:tc>
        <w:tc>
          <w:tcPr>
            <w:tcW w:w="6514" w:type="dxa"/>
            <w:shd w:val="clear" w:color="auto" w:fill="D9D9D9" w:themeFill="background1" w:themeFillShade="D9"/>
          </w:tcPr>
          <w:p w:rsidR="00AE22EC" w:rsidRPr="00174377" w:rsidRDefault="00AE22EC" w:rsidP="00AE22EC">
            <w:pPr>
              <w:jc w:val="center"/>
              <w:rPr>
                <w:rFonts w:cstheme="minorHAnsi"/>
                <w:b/>
                <w:sz w:val="20"/>
                <w:szCs w:val="20"/>
              </w:rPr>
            </w:pPr>
            <w:r w:rsidRPr="00174377">
              <w:rPr>
                <w:rFonts w:cstheme="minorHAnsi"/>
                <w:b/>
                <w:sz w:val="20"/>
                <w:szCs w:val="20"/>
              </w:rPr>
              <w:t>Expected Impact</w:t>
            </w:r>
          </w:p>
        </w:tc>
        <w:tc>
          <w:tcPr>
            <w:tcW w:w="1620" w:type="dxa"/>
            <w:shd w:val="clear" w:color="auto" w:fill="D9D9D9" w:themeFill="background1" w:themeFillShade="D9"/>
          </w:tcPr>
          <w:p w:rsidR="00AE22EC" w:rsidRPr="00174377" w:rsidRDefault="00AE22EC" w:rsidP="00AE22EC">
            <w:pPr>
              <w:jc w:val="center"/>
              <w:rPr>
                <w:rFonts w:cstheme="minorHAnsi"/>
                <w:b/>
                <w:sz w:val="20"/>
                <w:szCs w:val="20"/>
              </w:rPr>
            </w:pPr>
            <w:r w:rsidRPr="00174377">
              <w:rPr>
                <w:rFonts w:cstheme="minorHAnsi"/>
                <w:b/>
                <w:sz w:val="20"/>
                <w:szCs w:val="20"/>
              </w:rPr>
              <w:t>Implementation Date</w:t>
            </w:r>
          </w:p>
        </w:tc>
      </w:tr>
      <w:tr w:rsidR="00174377" w:rsidRPr="00174377" w:rsidTr="00174377">
        <w:tc>
          <w:tcPr>
            <w:tcW w:w="440" w:type="dxa"/>
          </w:tcPr>
          <w:p w:rsidR="003F5437" w:rsidRPr="00174377" w:rsidRDefault="003F5437" w:rsidP="00412299">
            <w:pPr>
              <w:rPr>
                <w:rFonts w:cstheme="minorHAnsi"/>
                <w:sz w:val="20"/>
                <w:szCs w:val="20"/>
              </w:rPr>
            </w:pPr>
            <w:r w:rsidRPr="00174377">
              <w:rPr>
                <w:rFonts w:cstheme="minorHAnsi"/>
                <w:sz w:val="20"/>
                <w:szCs w:val="20"/>
              </w:rPr>
              <w:t xml:space="preserve">1 </w:t>
            </w:r>
          </w:p>
        </w:tc>
        <w:tc>
          <w:tcPr>
            <w:tcW w:w="1277" w:type="dxa"/>
          </w:tcPr>
          <w:p w:rsidR="003F5437" w:rsidRPr="00174377" w:rsidRDefault="003F5437" w:rsidP="00412299">
            <w:pPr>
              <w:rPr>
                <w:rFonts w:cstheme="minorHAnsi"/>
                <w:sz w:val="20"/>
                <w:szCs w:val="20"/>
              </w:rPr>
            </w:pPr>
            <w:r w:rsidRPr="00174377">
              <w:rPr>
                <w:rFonts w:cstheme="minorHAnsi"/>
                <w:sz w:val="20"/>
                <w:szCs w:val="20"/>
              </w:rPr>
              <w:t>AFL 15-31</w:t>
            </w:r>
          </w:p>
        </w:tc>
        <w:tc>
          <w:tcPr>
            <w:tcW w:w="1147" w:type="dxa"/>
          </w:tcPr>
          <w:p w:rsidR="003F5437" w:rsidRPr="00174377" w:rsidRDefault="003F5437" w:rsidP="00412299">
            <w:pPr>
              <w:rPr>
                <w:rFonts w:cstheme="minorHAnsi"/>
                <w:sz w:val="20"/>
                <w:szCs w:val="20"/>
              </w:rPr>
            </w:pPr>
            <w:r w:rsidRPr="00174377">
              <w:rPr>
                <w:rFonts w:cstheme="minorHAnsi"/>
                <w:sz w:val="20"/>
                <w:szCs w:val="20"/>
              </w:rPr>
              <w:t xml:space="preserve">CDPH </w:t>
            </w:r>
          </w:p>
        </w:tc>
        <w:tc>
          <w:tcPr>
            <w:tcW w:w="6514" w:type="dxa"/>
          </w:tcPr>
          <w:p w:rsidR="003F5437" w:rsidRPr="00174377" w:rsidRDefault="003F5437" w:rsidP="00412299">
            <w:pPr>
              <w:pStyle w:val="Default"/>
              <w:rPr>
                <w:rFonts w:asciiTheme="minorHAnsi" w:hAnsiTheme="minorHAnsi" w:cstheme="minorHAnsi"/>
                <w:sz w:val="20"/>
                <w:szCs w:val="20"/>
              </w:rPr>
            </w:pPr>
            <w:r w:rsidRPr="00174377">
              <w:rPr>
                <w:rFonts w:asciiTheme="minorHAnsi" w:hAnsiTheme="minorHAnsi" w:cstheme="minorHAnsi"/>
                <w:sz w:val="20"/>
                <w:szCs w:val="20"/>
              </w:rPr>
              <w:t>Requires SNF to identify:</w:t>
            </w:r>
          </w:p>
          <w:p w:rsidR="003F5437" w:rsidRPr="00174377" w:rsidRDefault="003F5437" w:rsidP="00412299">
            <w:pPr>
              <w:pStyle w:val="Default"/>
              <w:rPr>
                <w:rFonts w:asciiTheme="minorHAnsi" w:hAnsiTheme="minorHAnsi" w:cstheme="minorHAnsi"/>
                <w:sz w:val="20"/>
                <w:szCs w:val="20"/>
              </w:rPr>
            </w:pPr>
            <w:r w:rsidRPr="00174377">
              <w:rPr>
                <w:rFonts w:asciiTheme="minorHAnsi" w:hAnsiTheme="minorHAnsi" w:cstheme="minorHAnsi"/>
                <w:sz w:val="20"/>
                <w:szCs w:val="20"/>
              </w:rPr>
              <w:t xml:space="preserve">a. Designated emergency contact and an alternate </w:t>
            </w:r>
          </w:p>
          <w:p w:rsidR="003F5437" w:rsidRPr="00174377" w:rsidRDefault="003F5437" w:rsidP="00412299">
            <w:pPr>
              <w:pStyle w:val="Default"/>
              <w:rPr>
                <w:rFonts w:asciiTheme="minorHAnsi" w:hAnsiTheme="minorHAnsi" w:cstheme="minorHAnsi"/>
                <w:sz w:val="20"/>
                <w:szCs w:val="20"/>
              </w:rPr>
            </w:pPr>
            <w:r w:rsidRPr="00174377">
              <w:rPr>
                <w:rFonts w:asciiTheme="minorHAnsi" w:hAnsiTheme="minorHAnsi" w:cstheme="minorHAnsi"/>
                <w:sz w:val="20"/>
                <w:szCs w:val="20"/>
              </w:rPr>
              <w:t xml:space="preserve">b. Designated AFL recipient and an alternate </w:t>
            </w:r>
          </w:p>
          <w:p w:rsidR="003F5437" w:rsidRPr="00174377" w:rsidRDefault="003F5437" w:rsidP="00412299">
            <w:pPr>
              <w:pStyle w:val="Default"/>
              <w:rPr>
                <w:rFonts w:asciiTheme="minorHAnsi" w:hAnsiTheme="minorHAnsi" w:cstheme="minorHAnsi"/>
                <w:sz w:val="20"/>
                <w:szCs w:val="20"/>
              </w:rPr>
            </w:pPr>
            <w:r w:rsidRPr="00174377">
              <w:rPr>
                <w:rFonts w:asciiTheme="minorHAnsi" w:hAnsiTheme="minorHAnsi" w:cstheme="minorHAnsi"/>
                <w:sz w:val="20"/>
                <w:szCs w:val="20"/>
              </w:rPr>
              <w:t>Please provide the requested information by using the SurveyMonkey link (</w:t>
            </w:r>
            <w:r w:rsidRPr="00174377">
              <w:rPr>
                <w:rFonts w:asciiTheme="minorHAnsi" w:hAnsiTheme="minorHAnsi" w:cstheme="minorHAnsi"/>
                <w:color w:val="0000FF"/>
                <w:sz w:val="20"/>
                <w:szCs w:val="20"/>
              </w:rPr>
              <w:t>https://www.surveymonkey.com/r/SNF_contact</w:t>
            </w:r>
            <w:r w:rsidRPr="00174377">
              <w:rPr>
                <w:rFonts w:asciiTheme="minorHAnsi" w:hAnsiTheme="minorHAnsi" w:cstheme="minorHAnsi"/>
                <w:sz w:val="20"/>
                <w:szCs w:val="20"/>
              </w:rPr>
              <w:t xml:space="preserve">) </w:t>
            </w:r>
          </w:p>
        </w:tc>
        <w:tc>
          <w:tcPr>
            <w:tcW w:w="1620" w:type="dxa"/>
          </w:tcPr>
          <w:p w:rsidR="003F5437" w:rsidRPr="00174377" w:rsidRDefault="003F5437" w:rsidP="00412299">
            <w:pPr>
              <w:rPr>
                <w:rFonts w:cstheme="minorHAnsi"/>
                <w:sz w:val="20"/>
                <w:szCs w:val="20"/>
              </w:rPr>
            </w:pPr>
            <w:r w:rsidRPr="00174377">
              <w:rPr>
                <w:rFonts w:cstheme="minorHAnsi"/>
                <w:sz w:val="20"/>
                <w:szCs w:val="20"/>
              </w:rPr>
              <w:t>01/30/16</w:t>
            </w:r>
          </w:p>
        </w:tc>
      </w:tr>
      <w:tr w:rsidR="006F239D" w:rsidRPr="00174377" w:rsidTr="00174377">
        <w:trPr>
          <w:cantSplit/>
        </w:trPr>
        <w:tc>
          <w:tcPr>
            <w:tcW w:w="440" w:type="dxa"/>
          </w:tcPr>
          <w:p w:rsidR="006F239D" w:rsidRPr="00174377" w:rsidRDefault="00174377" w:rsidP="00AE22EC">
            <w:pPr>
              <w:rPr>
                <w:rFonts w:cstheme="minorHAnsi"/>
                <w:sz w:val="20"/>
                <w:szCs w:val="20"/>
              </w:rPr>
            </w:pPr>
            <w:r w:rsidRPr="00174377">
              <w:rPr>
                <w:rFonts w:cstheme="minorHAnsi"/>
                <w:sz w:val="20"/>
                <w:szCs w:val="20"/>
              </w:rPr>
              <w:t>2</w:t>
            </w:r>
          </w:p>
        </w:tc>
        <w:tc>
          <w:tcPr>
            <w:tcW w:w="1277" w:type="dxa"/>
          </w:tcPr>
          <w:p w:rsidR="006F239D" w:rsidRPr="00174377" w:rsidRDefault="003F5437" w:rsidP="00AE22EC">
            <w:pPr>
              <w:rPr>
                <w:rFonts w:cstheme="minorHAnsi"/>
                <w:sz w:val="20"/>
                <w:szCs w:val="20"/>
              </w:rPr>
            </w:pPr>
            <w:r w:rsidRPr="00174377">
              <w:rPr>
                <w:rFonts w:cstheme="minorHAnsi"/>
                <w:sz w:val="20"/>
                <w:szCs w:val="20"/>
              </w:rPr>
              <w:t>Downing Labs LLS (NuVision Pharmacy)</w:t>
            </w:r>
          </w:p>
        </w:tc>
        <w:tc>
          <w:tcPr>
            <w:tcW w:w="1147" w:type="dxa"/>
          </w:tcPr>
          <w:p w:rsidR="006F239D" w:rsidRPr="00174377" w:rsidRDefault="003F5437" w:rsidP="00412299">
            <w:pPr>
              <w:rPr>
                <w:rFonts w:cstheme="minorHAnsi"/>
                <w:sz w:val="20"/>
                <w:szCs w:val="20"/>
              </w:rPr>
            </w:pPr>
            <w:r w:rsidRPr="00174377">
              <w:rPr>
                <w:rFonts w:cstheme="minorHAnsi"/>
                <w:sz w:val="20"/>
                <w:szCs w:val="20"/>
              </w:rPr>
              <w:t>FDA</w:t>
            </w:r>
          </w:p>
        </w:tc>
        <w:tc>
          <w:tcPr>
            <w:tcW w:w="6514" w:type="dxa"/>
          </w:tcPr>
          <w:p w:rsidR="006F239D" w:rsidRPr="00174377" w:rsidRDefault="003F5437" w:rsidP="00AE22EC">
            <w:pPr>
              <w:pStyle w:val="Default"/>
              <w:rPr>
                <w:rFonts w:asciiTheme="minorHAnsi" w:hAnsiTheme="minorHAnsi" w:cstheme="minorHAnsi"/>
                <w:sz w:val="20"/>
                <w:szCs w:val="20"/>
              </w:rPr>
            </w:pPr>
            <w:r w:rsidRPr="00174377">
              <w:rPr>
                <w:rFonts w:asciiTheme="minorHAnsi" w:hAnsiTheme="minorHAnsi" w:cstheme="minorHAnsi"/>
                <w:sz w:val="20"/>
                <w:szCs w:val="20"/>
                <w:lang w:val="en"/>
              </w:rPr>
              <w:t xml:space="preserve">The U.S. Department of Justice has prohibited Downing Labs LLC (formerly known as NuVision Pharmacy) from manufacturing, holding or distributing drugs. </w:t>
            </w:r>
            <w:hyperlink r:id="rId5" w:history="1">
              <w:r w:rsidRPr="00174377">
                <w:rPr>
                  <w:rStyle w:val="Hyperlink"/>
                  <w:rFonts w:asciiTheme="minorHAnsi" w:hAnsiTheme="minorHAnsi" w:cstheme="minorHAnsi"/>
                  <w:sz w:val="20"/>
                  <w:szCs w:val="20"/>
                  <w:lang w:val="en"/>
                </w:rPr>
                <w:t>This action</w:t>
              </w:r>
            </w:hyperlink>
            <w:r w:rsidRPr="00174377">
              <w:rPr>
                <w:rFonts w:asciiTheme="minorHAnsi" w:hAnsiTheme="minorHAnsi" w:cstheme="minorHAnsi"/>
                <w:sz w:val="20"/>
                <w:szCs w:val="20"/>
                <w:lang w:val="en"/>
              </w:rPr>
              <w:t xml:space="preserve"> was taken after the company continued to produce injectable drugs under insanitary conditions despite multiple warnings from the U.S. Food and Drug Administration (FDA). </w:t>
            </w:r>
            <w:hyperlink r:id="rId6" w:history="1">
              <w:r w:rsidRPr="00174377">
                <w:rPr>
                  <w:rStyle w:val="Hyperlink"/>
                  <w:rFonts w:asciiTheme="minorHAnsi" w:hAnsiTheme="minorHAnsi" w:cstheme="minorHAnsi"/>
                  <w:sz w:val="20"/>
                  <w:szCs w:val="20"/>
                  <w:lang w:val="en"/>
                </w:rPr>
                <w:t>Read the FDA news release</w:t>
              </w:r>
            </w:hyperlink>
            <w:r w:rsidRPr="00174377">
              <w:rPr>
                <w:rFonts w:asciiTheme="minorHAnsi" w:hAnsiTheme="minorHAnsi" w:cstheme="minorHAnsi"/>
                <w:sz w:val="20"/>
                <w:szCs w:val="20"/>
                <w:lang w:val="en"/>
              </w:rPr>
              <w:t>.</w:t>
            </w:r>
          </w:p>
        </w:tc>
        <w:tc>
          <w:tcPr>
            <w:tcW w:w="1620" w:type="dxa"/>
          </w:tcPr>
          <w:p w:rsidR="006F239D" w:rsidRPr="00174377" w:rsidRDefault="003F5437" w:rsidP="00AE22EC">
            <w:pPr>
              <w:rPr>
                <w:rFonts w:cstheme="minorHAnsi"/>
                <w:sz w:val="20"/>
                <w:szCs w:val="20"/>
              </w:rPr>
            </w:pPr>
            <w:r w:rsidRPr="00174377">
              <w:rPr>
                <w:rFonts w:cstheme="minorHAnsi"/>
                <w:sz w:val="20"/>
                <w:szCs w:val="20"/>
              </w:rPr>
              <w:t>01/12/16</w:t>
            </w:r>
          </w:p>
        </w:tc>
      </w:tr>
      <w:tr w:rsidR="006F239D" w:rsidRPr="00174377" w:rsidTr="00174377">
        <w:trPr>
          <w:cantSplit/>
        </w:trPr>
        <w:tc>
          <w:tcPr>
            <w:tcW w:w="440" w:type="dxa"/>
          </w:tcPr>
          <w:p w:rsidR="006F239D" w:rsidRPr="00174377" w:rsidRDefault="00174377" w:rsidP="00AE22EC">
            <w:pPr>
              <w:rPr>
                <w:rFonts w:cstheme="minorHAnsi"/>
                <w:sz w:val="20"/>
                <w:szCs w:val="20"/>
              </w:rPr>
            </w:pPr>
            <w:r w:rsidRPr="00174377">
              <w:rPr>
                <w:rFonts w:cstheme="minorHAnsi"/>
                <w:sz w:val="20"/>
                <w:szCs w:val="20"/>
              </w:rPr>
              <w:t>3</w:t>
            </w:r>
          </w:p>
        </w:tc>
        <w:tc>
          <w:tcPr>
            <w:tcW w:w="1277" w:type="dxa"/>
          </w:tcPr>
          <w:p w:rsidR="006F239D" w:rsidRPr="00174377" w:rsidRDefault="006F239D" w:rsidP="00AE22EC">
            <w:pPr>
              <w:rPr>
                <w:rFonts w:cstheme="minorHAnsi"/>
                <w:sz w:val="20"/>
                <w:szCs w:val="20"/>
              </w:rPr>
            </w:pPr>
            <w:r w:rsidRPr="00174377">
              <w:rPr>
                <w:rFonts w:cstheme="minorHAnsi"/>
                <w:sz w:val="20"/>
                <w:szCs w:val="20"/>
              </w:rPr>
              <w:t>NHSN training</w:t>
            </w:r>
          </w:p>
        </w:tc>
        <w:tc>
          <w:tcPr>
            <w:tcW w:w="1147" w:type="dxa"/>
          </w:tcPr>
          <w:p w:rsidR="006F239D" w:rsidRPr="00174377" w:rsidRDefault="006F239D" w:rsidP="00412299">
            <w:pPr>
              <w:rPr>
                <w:rFonts w:cstheme="minorHAnsi"/>
                <w:sz w:val="20"/>
                <w:szCs w:val="20"/>
              </w:rPr>
            </w:pPr>
            <w:r w:rsidRPr="00174377">
              <w:rPr>
                <w:rFonts w:cstheme="minorHAnsi"/>
                <w:sz w:val="20"/>
                <w:szCs w:val="20"/>
              </w:rPr>
              <w:t>NHSN</w:t>
            </w:r>
          </w:p>
        </w:tc>
        <w:tc>
          <w:tcPr>
            <w:tcW w:w="6514" w:type="dxa"/>
          </w:tcPr>
          <w:p w:rsidR="006F239D" w:rsidRPr="00174377" w:rsidRDefault="000A27BE" w:rsidP="00AE22EC">
            <w:pPr>
              <w:pStyle w:val="Default"/>
              <w:rPr>
                <w:rFonts w:asciiTheme="minorHAnsi" w:hAnsiTheme="minorHAnsi" w:cstheme="minorHAnsi"/>
                <w:sz w:val="20"/>
                <w:szCs w:val="20"/>
              </w:rPr>
            </w:pPr>
            <w:hyperlink r:id="rId7" w:history="1">
              <w:r w:rsidR="006F239D" w:rsidRPr="00174377">
                <w:rPr>
                  <w:rStyle w:val="Hyperlink"/>
                  <w:rFonts w:asciiTheme="minorHAnsi" w:hAnsiTheme="minorHAnsi" w:cstheme="minorHAnsi"/>
                  <w:sz w:val="20"/>
                  <w:szCs w:val="20"/>
                  <w:lang w:val="en"/>
                </w:rPr>
                <w:t>Registration</w:t>
              </w:r>
            </w:hyperlink>
            <w:r w:rsidR="006F239D" w:rsidRPr="00174377">
              <w:rPr>
                <w:rFonts w:asciiTheme="minorHAnsi" w:hAnsiTheme="minorHAnsi" w:cstheme="minorHAnsi"/>
                <w:sz w:val="20"/>
                <w:szCs w:val="20"/>
                <w:lang w:val="en"/>
              </w:rPr>
              <w:t xml:space="preserve"> has opened for the NHSN training course “Applying the 2016 Changes to Accurately Report HAIs,” to be held February 29-March 4, 2016 at the CDC Global Communications Center in Atlanta, GA. Applications are expected to exceed seating capacity, so it is recommended that those interested in participating in the course register as soon as possible. </w:t>
            </w:r>
            <w:hyperlink r:id="rId8" w:history="1">
              <w:r w:rsidR="006F239D" w:rsidRPr="00174377">
                <w:rPr>
                  <w:rStyle w:val="Hyperlink"/>
                  <w:rFonts w:asciiTheme="minorHAnsi" w:hAnsiTheme="minorHAnsi" w:cstheme="minorHAnsi"/>
                  <w:sz w:val="20"/>
                  <w:szCs w:val="20"/>
                  <w:lang w:val="en"/>
                </w:rPr>
                <w:t>Read the NHSN invitation</w:t>
              </w:r>
            </w:hyperlink>
            <w:r w:rsidR="006F239D" w:rsidRPr="00174377">
              <w:rPr>
                <w:rFonts w:asciiTheme="minorHAnsi" w:hAnsiTheme="minorHAnsi" w:cstheme="minorHAnsi"/>
                <w:sz w:val="20"/>
                <w:szCs w:val="20"/>
                <w:lang w:val="en"/>
              </w:rPr>
              <w:t xml:space="preserve"> letter. </w:t>
            </w:r>
            <w:hyperlink r:id="rId9" w:history="1">
              <w:r w:rsidR="006F239D" w:rsidRPr="00174377">
                <w:rPr>
                  <w:rStyle w:val="Hyperlink"/>
                  <w:rFonts w:asciiTheme="minorHAnsi" w:hAnsiTheme="minorHAnsi" w:cstheme="minorHAnsi"/>
                  <w:sz w:val="20"/>
                  <w:szCs w:val="20"/>
                  <w:lang w:val="en"/>
                </w:rPr>
                <w:t>Apply for the training</w:t>
              </w:r>
            </w:hyperlink>
            <w:r w:rsidR="006F239D" w:rsidRPr="00174377">
              <w:rPr>
                <w:rFonts w:asciiTheme="minorHAnsi" w:hAnsiTheme="minorHAnsi" w:cstheme="minorHAnsi"/>
                <w:sz w:val="20"/>
                <w:szCs w:val="20"/>
                <w:lang w:val="en"/>
              </w:rPr>
              <w:t>.</w:t>
            </w:r>
          </w:p>
        </w:tc>
        <w:tc>
          <w:tcPr>
            <w:tcW w:w="1620" w:type="dxa"/>
          </w:tcPr>
          <w:p w:rsidR="006F239D" w:rsidRPr="00174377" w:rsidRDefault="006F239D" w:rsidP="00AE22EC">
            <w:pPr>
              <w:rPr>
                <w:rFonts w:cstheme="minorHAnsi"/>
                <w:sz w:val="20"/>
                <w:szCs w:val="20"/>
              </w:rPr>
            </w:pPr>
            <w:r w:rsidRPr="00174377">
              <w:rPr>
                <w:rFonts w:cstheme="minorHAnsi"/>
                <w:sz w:val="20"/>
                <w:szCs w:val="20"/>
              </w:rPr>
              <w:t>01/12/16</w:t>
            </w:r>
          </w:p>
        </w:tc>
      </w:tr>
      <w:tr w:rsidR="006F239D" w:rsidRPr="00174377" w:rsidTr="00174377">
        <w:trPr>
          <w:cantSplit/>
        </w:trPr>
        <w:tc>
          <w:tcPr>
            <w:tcW w:w="440" w:type="dxa"/>
          </w:tcPr>
          <w:p w:rsidR="006F239D" w:rsidRPr="00174377" w:rsidRDefault="00174377" w:rsidP="00AE22EC">
            <w:pPr>
              <w:rPr>
                <w:rFonts w:cstheme="minorHAnsi"/>
                <w:sz w:val="20"/>
                <w:szCs w:val="20"/>
              </w:rPr>
            </w:pPr>
            <w:r w:rsidRPr="00174377">
              <w:rPr>
                <w:rFonts w:cstheme="minorHAnsi"/>
                <w:sz w:val="20"/>
                <w:szCs w:val="20"/>
              </w:rPr>
              <w:t>4</w:t>
            </w:r>
          </w:p>
        </w:tc>
        <w:tc>
          <w:tcPr>
            <w:tcW w:w="1277" w:type="dxa"/>
          </w:tcPr>
          <w:p w:rsidR="006F239D" w:rsidRPr="00174377" w:rsidRDefault="006F239D" w:rsidP="00AE22EC">
            <w:pPr>
              <w:rPr>
                <w:rFonts w:cstheme="minorHAnsi"/>
                <w:sz w:val="20"/>
                <w:szCs w:val="20"/>
              </w:rPr>
            </w:pPr>
            <w:r w:rsidRPr="00174377">
              <w:rPr>
                <w:rFonts w:cstheme="minorHAnsi"/>
                <w:sz w:val="20"/>
                <w:szCs w:val="20"/>
              </w:rPr>
              <w:t>NHSN Version upgrade to 8.5</w:t>
            </w:r>
          </w:p>
        </w:tc>
        <w:tc>
          <w:tcPr>
            <w:tcW w:w="1147" w:type="dxa"/>
          </w:tcPr>
          <w:p w:rsidR="006F239D" w:rsidRPr="00174377" w:rsidRDefault="006F239D" w:rsidP="00412299">
            <w:pPr>
              <w:rPr>
                <w:rFonts w:cstheme="minorHAnsi"/>
                <w:sz w:val="20"/>
                <w:szCs w:val="20"/>
              </w:rPr>
            </w:pPr>
            <w:r w:rsidRPr="00174377">
              <w:rPr>
                <w:rFonts w:cstheme="minorHAnsi"/>
                <w:sz w:val="20"/>
                <w:szCs w:val="20"/>
              </w:rPr>
              <w:t>NHSN</w:t>
            </w:r>
          </w:p>
        </w:tc>
        <w:tc>
          <w:tcPr>
            <w:tcW w:w="6514" w:type="dxa"/>
          </w:tcPr>
          <w:p w:rsidR="006F239D" w:rsidRPr="00174377" w:rsidRDefault="006F239D" w:rsidP="00AE22EC">
            <w:pPr>
              <w:pStyle w:val="Default"/>
              <w:rPr>
                <w:rFonts w:asciiTheme="minorHAnsi" w:hAnsiTheme="minorHAnsi" w:cstheme="minorHAnsi"/>
                <w:sz w:val="20"/>
                <w:szCs w:val="20"/>
              </w:rPr>
            </w:pPr>
            <w:r w:rsidRPr="00174377">
              <w:rPr>
                <w:rFonts w:asciiTheme="minorHAnsi" w:hAnsiTheme="minorHAnsi" w:cstheme="minorHAnsi"/>
                <w:sz w:val="20"/>
                <w:szCs w:val="20"/>
                <w:lang w:val="en"/>
              </w:rPr>
              <w:t xml:space="preserve">The Centers for Disease Control and Prevention (CDC) announced that National Healthcare Safety Network (NHSN) Version 8.5 has been released. The </w:t>
            </w:r>
            <w:hyperlink r:id="rId10" w:history="1">
              <w:r w:rsidRPr="00174377">
                <w:rPr>
                  <w:rStyle w:val="Hyperlink"/>
                  <w:rFonts w:asciiTheme="minorHAnsi" w:hAnsiTheme="minorHAnsi" w:cstheme="minorHAnsi"/>
                  <w:sz w:val="20"/>
                  <w:szCs w:val="20"/>
                  <w:lang w:val="en"/>
                </w:rPr>
                <w:t>release notes</w:t>
              </w:r>
            </w:hyperlink>
            <w:r w:rsidRPr="00174377">
              <w:rPr>
                <w:rFonts w:asciiTheme="minorHAnsi" w:hAnsiTheme="minorHAnsi" w:cstheme="minorHAnsi"/>
                <w:sz w:val="20"/>
                <w:szCs w:val="20"/>
                <w:lang w:val="en"/>
              </w:rPr>
              <w:t xml:space="preserve"> sent by CDC to NHSN users provide important details on the many additions and changes with this release, including analysis updates within the Patient Safety, Healthcare Personnel Safety, Dialysis, Long-Term Care, and Biovigilance Components. Please note that users who wish to use any of the new analysis output options must regenerate datasets.</w:t>
            </w:r>
          </w:p>
        </w:tc>
        <w:tc>
          <w:tcPr>
            <w:tcW w:w="1620" w:type="dxa"/>
          </w:tcPr>
          <w:p w:rsidR="006F239D" w:rsidRPr="00174377" w:rsidRDefault="006F239D" w:rsidP="00AE22EC">
            <w:pPr>
              <w:rPr>
                <w:rFonts w:cstheme="minorHAnsi"/>
                <w:sz w:val="20"/>
                <w:szCs w:val="20"/>
              </w:rPr>
            </w:pPr>
            <w:r w:rsidRPr="00174377">
              <w:rPr>
                <w:rFonts w:cstheme="minorHAnsi"/>
                <w:sz w:val="20"/>
                <w:szCs w:val="20"/>
              </w:rPr>
              <w:t>01/12/16</w:t>
            </w:r>
          </w:p>
        </w:tc>
      </w:tr>
      <w:tr w:rsidR="003F5437" w:rsidRPr="00174377" w:rsidTr="00174377">
        <w:trPr>
          <w:cantSplit/>
        </w:trPr>
        <w:tc>
          <w:tcPr>
            <w:tcW w:w="440" w:type="dxa"/>
          </w:tcPr>
          <w:p w:rsidR="003F5437" w:rsidRPr="00174377" w:rsidRDefault="00174377" w:rsidP="00412299">
            <w:pPr>
              <w:rPr>
                <w:rFonts w:cstheme="minorHAnsi"/>
                <w:sz w:val="20"/>
                <w:szCs w:val="20"/>
              </w:rPr>
            </w:pPr>
            <w:r w:rsidRPr="00174377">
              <w:rPr>
                <w:rFonts w:cstheme="minorHAnsi"/>
                <w:sz w:val="20"/>
                <w:szCs w:val="20"/>
              </w:rPr>
              <w:t>5</w:t>
            </w:r>
          </w:p>
        </w:tc>
        <w:tc>
          <w:tcPr>
            <w:tcW w:w="1277" w:type="dxa"/>
          </w:tcPr>
          <w:p w:rsidR="003F5437" w:rsidRPr="00174377" w:rsidRDefault="003F5437" w:rsidP="00412299">
            <w:pPr>
              <w:rPr>
                <w:rFonts w:cstheme="minorHAnsi"/>
                <w:sz w:val="20"/>
                <w:szCs w:val="20"/>
              </w:rPr>
            </w:pPr>
            <w:r w:rsidRPr="00174377">
              <w:rPr>
                <w:rFonts w:cstheme="minorHAnsi"/>
                <w:sz w:val="20"/>
                <w:szCs w:val="20"/>
              </w:rPr>
              <w:t>Ambulatory IP Project</w:t>
            </w:r>
          </w:p>
        </w:tc>
        <w:tc>
          <w:tcPr>
            <w:tcW w:w="1147" w:type="dxa"/>
          </w:tcPr>
          <w:p w:rsidR="003F5437" w:rsidRPr="00174377" w:rsidRDefault="003F5437" w:rsidP="00412299">
            <w:pPr>
              <w:rPr>
                <w:rFonts w:cstheme="minorHAnsi"/>
                <w:sz w:val="20"/>
                <w:szCs w:val="20"/>
              </w:rPr>
            </w:pPr>
            <w:r w:rsidRPr="00174377">
              <w:rPr>
                <w:rFonts w:cstheme="minorHAnsi"/>
                <w:sz w:val="20"/>
                <w:szCs w:val="20"/>
              </w:rPr>
              <w:t>TJC, CDC</w:t>
            </w:r>
          </w:p>
        </w:tc>
        <w:tc>
          <w:tcPr>
            <w:tcW w:w="6514" w:type="dxa"/>
          </w:tcPr>
          <w:p w:rsidR="003F5437" w:rsidRPr="00174377" w:rsidRDefault="000A27BE" w:rsidP="00412299">
            <w:pPr>
              <w:pStyle w:val="Default"/>
              <w:rPr>
                <w:rFonts w:asciiTheme="minorHAnsi" w:hAnsiTheme="minorHAnsi" w:cstheme="minorHAnsi"/>
                <w:sz w:val="20"/>
                <w:szCs w:val="20"/>
                <w:lang w:val="en"/>
              </w:rPr>
            </w:pPr>
            <w:hyperlink r:id="rId11" w:history="1">
              <w:r w:rsidR="003F5437" w:rsidRPr="00174377">
                <w:rPr>
                  <w:rFonts w:asciiTheme="minorHAnsi" w:hAnsiTheme="minorHAnsi" w:cstheme="minorHAnsi"/>
                  <w:color w:val="0000FF"/>
                  <w:sz w:val="20"/>
                  <w:szCs w:val="20"/>
                  <w:u w:val="single"/>
                  <w:lang w:val="en"/>
                </w:rPr>
                <w:t>The Joint Commission and the Centers for Disease Control and Prevention (CDC) are collaborating</w:t>
              </w:r>
            </w:hyperlink>
            <w:r w:rsidR="003F5437" w:rsidRPr="00174377">
              <w:rPr>
                <w:rFonts w:asciiTheme="minorHAnsi" w:hAnsiTheme="minorHAnsi" w:cstheme="minorHAnsi"/>
                <w:color w:val="auto"/>
                <w:sz w:val="20"/>
                <w:szCs w:val="20"/>
                <w:lang w:val="en"/>
              </w:rPr>
              <w:t xml:space="preserve"> on an initiative designed to adapt, enhance, and disseminate CDC guidance related to infection prevention and control in ambulatory healthcare settings. The goal of this effort, which is supported through a CDC Safety and Healthcare Epidemiology Prevention Research Development (SHEPheRD) contract, is to create model infection control plans and expand the reach, uptake and adoption of these and other infection prevention and control guidance materials to prevent infections in outpatient settings.</w:t>
            </w:r>
          </w:p>
        </w:tc>
        <w:tc>
          <w:tcPr>
            <w:tcW w:w="1620" w:type="dxa"/>
          </w:tcPr>
          <w:p w:rsidR="003F5437" w:rsidRPr="00174377" w:rsidRDefault="003F5437" w:rsidP="00412299">
            <w:pPr>
              <w:rPr>
                <w:rFonts w:cstheme="minorHAnsi"/>
                <w:sz w:val="20"/>
                <w:szCs w:val="20"/>
              </w:rPr>
            </w:pPr>
            <w:r w:rsidRPr="00174377">
              <w:rPr>
                <w:rFonts w:cstheme="minorHAnsi"/>
                <w:sz w:val="20"/>
                <w:szCs w:val="20"/>
              </w:rPr>
              <w:t>01/11/15</w:t>
            </w:r>
          </w:p>
        </w:tc>
      </w:tr>
      <w:tr w:rsidR="006F239D" w:rsidRPr="00174377" w:rsidTr="00174377">
        <w:trPr>
          <w:cantSplit/>
        </w:trPr>
        <w:tc>
          <w:tcPr>
            <w:tcW w:w="440" w:type="dxa"/>
          </w:tcPr>
          <w:p w:rsidR="00AE22EC" w:rsidRPr="00174377" w:rsidRDefault="00174377" w:rsidP="00AE22EC">
            <w:pPr>
              <w:rPr>
                <w:rFonts w:cstheme="minorHAnsi"/>
                <w:sz w:val="20"/>
                <w:szCs w:val="20"/>
              </w:rPr>
            </w:pPr>
            <w:r w:rsidRPr="00174377">
              <w:rPr>
                <w:rFonts w:cstheme="minorHAnsi"/>
                <w:sz w:val="20"/>
                <w:szCs w:val="20"/>
              </w:rPr>
              <w:t>6</w:t>
            </w:r>
          </w:p>
        </w:tc>
        <w:tc>
          <w:tcPr>
            <w:tcW w:w="1277" w:type="dxa"/>
          </w:tcPr>
          <w:p w:rsidR="00AE22EC" w:rsidRPr="00174377" w:rsidRDefault="00AE22EC" w:rsidP="00AE22EC">
            <w:pPr>
              <w:rPr>
                <w:rFonts w:cstheme="minorHAnsi"/>
                <w:sz w:val="20"/>
                <w:szCs w:val="20"/>
              </w:rPr>
            </w:pPr>
            <w:r w:rsidRPr="00174377">
              <w:rPr>
                <w:rFonts w:cstheme="minorHAnsi"/>
                <w:sz w:val="20"/>
                <w:szCs w:val="20"/>
              </w:rPr>
              <w:t>AFL 15-30</w:t>
            </w:r>
          </w:p>
        </w:tc>
        <w:tc>
          <w:tcPr>
            <w:tcW w:w="1147" w:type="dxa"/>
          </w:tcPr>
          <w:p w:rsidR="00AE22EC" w:rsidRPr="00174377" w:rsidRDefault="00AE22EC" w:rsidP="00412299">
            <w:pPr>
              <w:rPr>
                <w:rFonts w:cstheme="minorHAnsi"/>
                <w:sz w:val="20"/>
                <w:szCs w:val="20"/>
              </w:rPr>
            </w:pPr>
            <w:r w:rsidRPr="00174377">
              <w:rPr>
                <w:rFonts w:cstheme="minorHAnsi"/>
                <w:sz w:val="20"/>
                <w:szCs w:val="20"/>
              </w:rPr>
              <w:t xml:space="preserve">CDPH </w:t>
            </w:r>
          </w:p>
        </w:tc>
        <w:tc>
          <w:tcPr>
            <w:tcW w:w="6514" w:type="dxa"/>
          </w:tcPr>
          <w:p w:rsidR="00AE22EC" w:rsidRPr="00174377" w:rsidRDefault="00AE22EC" w:rsidP="00AE22EC">
            <w:pPr>
              <w:pStyle w:val="Default"/>
              <w:rPr>
                <w:rFonts w:asciiTheme="minorHAnsi" w:hAnsiTheme="minorHAnsi" w:cstheme="minorHAnsi"/>
                <w:sz w:val="20"/>
                <w:szCs w:val="20"/>
              </w:rPr>
            </w:pPr>
            <w:r w:rsidRPr="00174377">
              <w:rPr>
                <w:rFonts w:asciiTheme="minorHAnsi" w:hAnsiTheme="minorHAnsi" w:cstheme="minorHAnsi"/>
                <w:sz w:val="20"/>
                <w:szCs w:val="20"/>
              </w:rPr>
              <w:t xml:space="preserve">Requires that each SNF adopt and implement an antimicrobial stewardship policy by January 1, 2017. The policy must be consistent with antimicrobial stewardship guidelines developed by the federal Centers for Disease Control and Prevention (CDC), the Centers for Medicare and Medicaid Services, the Society for Healthcare Epidemiology of America, or similar recognized professional organizations. The CDC has defined seven core elements of antibiotic stewardship for nursing homes; the CDC recommendations are available at the following link: </w:t>
            </w:r>
          </w:p>
          <w:p w:rsidR="00AE22EC" w:rsidRPr="00174377" w:rsidRDefault="00AE22EC" w:rsidP="00AE22EC">
            <w:pPr>
              <w:rPr>
                <w:rFonts w:cstheme="minorHAnsi"/>
                <w:sz w:val="20"/>
                <w:szCs w:val="20"/>
              </w:rPr>
            </w:pPr>
            <w:r w:rsidRPr="00174377">
              <w:rPr>
                <w:rFonts w:cstheme="minorHAnsi"/>
                <w:color w:val="0000FF"/>
                <w:sz w:val="20"/>
                <w:szCs w:val="20"/>
              </w:rPr>
              <w:t>www.cdc.gov/longtermcare/prevention/antibiotic-stewardship.html</w:t>
            </w:r>
          </w:p>
        </w:tc>
        <w:tc>
          <w:tcPr>
            <w:tcW w:w="1620" w:type="dxa"/>
          </w:tcPr>
          <w:p w:rsidR="00AE22EC" w:rsidRPr="00174377" w:rsidRDefault="006F239D" w:rsidP="006F239D">
            <w:pPr>
              <w:rPr>
                <w:rFonts w:cstheme="minorHAnsi"/>
                <w:sz w:val="20"/>
                <w:szCs w:val="20"/>
              </w:rPr>
            </w:pPr>
            <w:r w:rsidRPr="00174377">
              <w:rPr>
                <w:rFonts w:cstheme="minorHAnsi"/>
                <w:sz w:val="20"/>
                <w:szCs w:val="20"/>
              </w:rPr>
              <w:t>01/01/17</w:t>
            </w:r>
          </w:p>
        </w:tc>
      </w:tr>
      <w:tr w:rsidR="006F239D" w:rsidRPr="00174377" w:rsidTr="00174377">
        <w:trPr>
          <w:cantSplit/>
        </w:trPr>
        <w:tc>
          <w:tcPr>
            <w:tcW w:w="440" w:type="dxa"/>
          </w:tcPr>
          <w:p w:rsidR="00AE22EC" w:rsidRPr="00174377" w:rsidRDefault="00174377" w:rsidP="00AE22EC">
            <w:pPr>
              <w:rPr>
                <w:rFonts w:cstheme="minorHAnsi"/>
                <w:sz w:val="20"/>
                <w:szCs w:val="20"/>
              </w:rPr>
            </w:pPr>
            <w:r w:rsidRPr="00174377">
              <w:rPr>
                <w:rFonts w:cstheme="minorHAnsi"/>
                <w:sz w:val="20"/>
                <w:szCs w:val="20"/>
              </w:rPr>
              <w:t>7</w:t>
            </w:r>
          </w:p>
        </w:tc>
        <w:tc>
          <w:tcPr>
            <w:tcW w:w="1277" w:type="dxa"/>
          </w:tcPr>
          <w:p w:rsidR="00AE22EC" w:rsidRPr="00174377" w:rsidRDefault="00AE22EC" w:rsidP="00AE22EC">
            <w:pPr>
              <w:rPr>
                <w:rFonts w:cstheme="minorHAnsi"/>
                <w:sz w:val="20"/>
                <w:szCs w:val="20"/>
              </w:rPr>
            </w:pPr>
            <w:r w:rsidRPr="00174377">
              <w:rPr>
                <w:rFonts w:cstheme="minorHAnsi"/>
                <w:sz w:val="20"/>
                <w:szCs w:val="20"/>
              </w:rPr>
              <w:t>AFL 15-29</w:t>
            </w:r>
          </w:p>
        </w:tc>
        <w:tc>
          <w:tcPr>
            <w:tcW w:w="1147" w:type="dxa"/>
          </w:tcPr>
          <w:p w:rsidR="00AE22EC" w:rsidRPr="00174377" w:rsidRDefault="00AE22EC" w:rsidP="00412299">
            <w:pPr>
              <w:rPr>
                <w:rFonts w:cstheme="minorHAnsi"/>
                <w:sz w:val="20"/>
                <w:szCs w:val="20"/>
              </w:rPr>
            </w:pPr>
            <w:r w:rsidRPr="00174377">
              <w:rPr>
                <w:rFonts w:cstheme="minorHAnsi"/>
                <w:sz w:val="20"/>
                <w:szCs w:val="20"/>
              </w:rPr>
              <w:t>CDPH</w:t>
            </w:r>
          </w:p>
        </w:tc>
        <w:tc>
          <w:tcPr>
            <w:tcW w:w="6514" w:type="dxa"/>
          </w:tcPr>
          <w:p w:rsidR="00AE22EC" w:rsidRPr="00174377" w:rsidRDefault="006140CA" w:rsidP="006140CA">
            <w:pPr>
              <w:rPr>
                <w:rFonts w:cstheme="minorHAnsi"/>
                <w:sz w:val="20"/>
                <w:szCs w:val="20"/>
              </w:rPr>
            </w:pPr>
            <w:r w:rsidRPr="00174377">
              <w:rPr>
                <w:rFonts w:cstheme="minorHAnsi"/>
                <w:sz w:val="20"/>
                <w:szCs w:val="20"/>
              </w:rPr>
              <w:t>E</w:t>
            </w:r>
            <w:r w:rsidR="00AE22EC" w:rsidRPr="00174377">
              <w:rPr>
                <w:rFonts w:cstheme="minorHAnsi"/>
                <w:sz w:val="20"/>
                <w:szCs w:val="20"/>
              </w:rPr>
              <w:t>liminates the requirement that licensed PCCs enter into a written transfer agreement with one or more nearby hospitals as a condition of licensure, except for PCCs that provide services as an alternative birthing center.</w:t>
            </w:r>
          </w:p>
          <w:p w:rsidR="006140CA" w:rsidRPr="00174377" w:rsidRDefault="006140CA" w:rsidP="006140CA">
            <w:pPr>
              <w:rPr>
                <w:rFonts w:cstheme="minorHAnsi"/>
                <w:sz w:val="20"/>
                <w:szCs w:val="20"/>
              </w:rPr>
            </w:pPr>
            <w:r w:rsidRPr="00174377">
              <w:rPr>
                <w:rFonts w:cstheme="minorHAnsi"/>
                <w:sz w:val="20"/>
                <w:szCs w:val="20"/>
              </w:rPr>
              <w:t>Because the new requirements conflict with existing regulatory requirements, the California Department of Public Health (CDPH) is required to repeal section 75047 of Title 22 of the California Code of Regulations no later than July 1, 2016.</w:t>
            </w:r>
          </w:p>
        </w:tc>
        <w:tc>
          <w:tcPr>
            <w:tcW w:w="1620" w:type="dxa"/>
          </w:tcPr>
          <w:p w:rsidR="00AE22EC" w:rsidRPr="00174377" w:rsidRDefault="006F239D" w:rsidP="00AE22EC">
            <w:pPr>
              <w:rPr>
                <w:rFonts w:cstheme="minorHAnsi"/>
                <w:sz w:val="20"/>
                <w:szCs w:val="20"/>
              </w:rPr>
            </w:pPr>
            <w:r w:rsidRPr="00174377">
              <w:rPr>
                <w:rFonts w:cstheme="minorHAnsi"/>
                <w:sz w:val="20"/>
                <w:szCs w:val="20"/>
              </w:rPr>
              <w:t>01/01/16</w:t>
            </w:r>
          </w:p>
        </w:tc>
      </w:tr>
      <w:tr w:rsidR="006F239D" w:rsidRPr="00174377" w:rsidTr="00174377">
        <w:trPr>
          <w:cantSplit/>
        </w:trPr>
        <w:tc>
          <w:tcPr>
            <w:tcW w:w="440" w:type="dxa"/>
          </w:tcPr>
          <w:p w:rsidR="00AE22EC" w:rsidRPr="00174377" w:rsidRDefault="00174377" w:rsidP="00AE22EC">
            <w:pPr>
              <w:rPr>
                <w:rFonts w:cstheme="minorHAnsi"/>
                <w:sz w:val="20"/>
                <w:szCs w:val="20"/>
              </w:rPr>
            </w:pPr>
            <w:r w:rsidRPr="00174377">
              <w:rPr>
                <w:rFonts w:cstheme="minorHAnsi"/>
                <w:sz w:val="20"/>
                <w:szCs w:val="20"/>
              </w:rPr>
              <w:lastRenderedPageBreak/>
              <w:t>8</w:t>
            </w:r>
          </w:p>
        </w:tc>
        <w:tc>
          <w:tcPr>
            <w:tcW w:w="1277" w:type="dxa"/>
          </w:tcPr>
          <w:p w:rsidR="00AE22EC" w:rsidRPr="00174377" w:rsidRDefault="00850166" w:rsidP="00AE22EC">
            <w:pPr>
              <w:rPr>
                <w:rFonts w:cstheme="minorHAnsi"/>
                <w:sz w:val="20"/>
                <w:szCs w:val="20"/>
              </w:rPr>
            </w:pPr>
            <w:r w:rsidRPr="00174377">
              <w:rPr>
                <w:rFonts w:cstheme="minorHAnsi"/>
                <w:sz w:val="20"/>
                <w:szCs w:val="20"/>
              </w:rPr>
              <w:t>AFL 15-24</w:t>
            </w:r>
          </w:p>
        </w:tc>
        <w:tc>
          <w:tcPr>
            <w:tcW w:w="1147" w:type="dxa"/>
          </w:tcPr>
          <w:p w:rsidR="00AE22EC" w:rsidRPr="00174377" w:rsidRDefault="00850166" w:rsidP="00412299">
            <w:pPr>
              <w:rPr>
                <w:rFonts w:cstheme="minorHAnsi"/>
                <w:sz w:val="20"/>
                <w:szCs w:val="20"/>
              </w:rPr>
            </w:pPr>
            <w:r w:rsidRPr="00174377">
              <w:rPr>
                <w:rFonts w:cstheme="minorHAnsi"/>
                <w:sz w:val="20"/>
                <w:szCs w:val="20"/>
              </w:rPr>
              <w:t>CDPH</w:t>
            </w:r>
          </w:p>
        </w:tc>
        <w:tc>
          <w:tcPr>
            <w:tcW w:w="6514" w:type="dxa"/>
          </w:tcPr>
          <w:p w:rsidR="00AE22EC" w:rsidRPr="00174377" w:rsidRDefault="00850166" w:rsidP="00850166">
            <w:pPr>
              <w:rPr>
                <w:rFonts w:cstheme="minorHAnsi"/>
                <w:sz w:val="20"/>
                <w:szCs w:val="20"/>
              </w:rPr>
            </w:pPr>
            <w:r w:rsidRPr="00174377">
              <w:rPr>
                <w:rFonts w:cstheme="minorHAnsi"/>
                <w:sz w:val="20"/>
                <w:szCs w:val="20"/>
              </w:rPr>
              <w:t>Extends implementation date to July 1, 2016, by which hospitals and SNFs are prohibited from using enteral feeding connectors that would fit into a connector other than the type for which it was intended, unless an emergency or urgent situation exists and the prohibition would impair the ability to provide health care.</w:t>
            </w:r>
          </w:p>
        </w:tc>
        <w:tc>
          <w:tcPr>
            <w:tcW w:w="1620" w:type="dxa"/>
          </w:tcPr>
          <w:p w:rsidR="00AE22EC" w:rsidRPr="00174377" w:rsidRDefault="006F239D" w:rsidP="00AE22EC">
            <w:pPr>
              <w:rPr>
                <w:rFonts w:cstheme="minorHAnsi"/>
                <w:sz w:val="20"/>
                <w:szCs w:val="20"/>
              </w:rPr>
            </w:pPr>
            <w:r w:rsidRPr="00174377">
              <w:rPr>
                <w:rFonts w:cstheme="minorHAnsi"/>
                <w:sz w:val="20"/>
                <w:szCs w:val="20"/>
              </w:rPr>
              <w:t>07/01/16</w:t>
            </w:r>
          </w:p>
        </w:tc>
      </w:tr>
      <w:tr w:rsidR="003F5437" w:rsidRPr="00174377" w:rsidTr="00174377">
        <w:trPr>
          <w:cantSplit/>
        </w:trPr>
        <w:tc>
          <w:tcPr>
            <w:tcW w:w="440" w:type="dxa"/>
          </w:tcPr>
          <w:p w:rsidR="003F5437" w:rsidRPr="00174377" w:rsidRDefault="00174377" w:rsidP="00AE22EC">
            <w:pPr>
              <w:rPr>
                <w:rFonts w:cstheme="minorHAnsi"/>
                <w:sz w:val="20"/>
                <w:szCs w:val="20"/>
              </w:rPr>
            </w:pPr>
            <w:r w:rsidRPr="00174377">
              <w:rPr>
                <w:rFonts w:cstheme="minorHAnsi"/>
                <w:sz w:val="20"/>
                <w:szCs w:val="20"/>
              </w:rPr>
              <w:t>9</w:t>
            </w:r>
          </w:p>
        </w:tc>
        <w:tc>
          <w:tcPr>
            <w:tcW w:w="1277" w:type="dxa"/>
          </w:tcPr>
          <w:p w:rsidR="003F5437" w:rsidRPr="00174377" w:rsidRDefault="003F5437" w:rsidP="00AE22EC">
            <w:pPr>
              <w:rPr>
                <w:rFonts w:cstheme="minorHAnsi"/>
                <w:sz w:val="20"/>
                <w:szCs w:val="20"/>
              </w:rPr>
            </w:pPr>
            <w:r w:rsidRPr="00174377">
              <w:rPr>
                <w:rFonts w:cstheme="minorHAnsi"/>
                <w:sz w:val="20"/>
                <w:szCs w:val="20"/>
              </w:rPr>
              <w:t>CMS IP Pilot Project</w:t>
            </w:r>
          </w:p>
        </w:tc>
        <w:tc>
          <w:tcPr>
            <w:tcW w:w="1147" w:type="dxa"/>
          </w:tcPr>
          <w:p w:rsidR="003F5437" w:rsidRPr="00174377" w:rsidRDefault="003F5437" w:rsidP="00412299">
            <w:pPr>
              <w:rPr>
                <w:rFonts w:cstheme="minorHAnsi"/>
                <w:sz w:val="20"/>
                <w:szCs w:val="20"/>
              </w:rPr>
            </w:pPr>
            <w:r w:rsidRPr="00174377">
              <w:rPr>
                <w:rFonts w:cstheme="minorHAnsi"/>
                <w:sz w:val="20"/>
                <w:szCs w:val="20"/>
              </w:rPr>
              <w:t>CMS</w:t>
            </w:r>
          </w:p>
        </w:tc>
        <w:tc>
          <w:tcPr>
            <w:tcW w:w="6514" w:type="dxa"/>
          </w:tcPr>
          <w:p w:rsidR="003F5437" w:rsidRPr="00174377" w:rsidRDefault="003F5437" w:rsidP="00850166">
            <w:pPr>
              <w:rPr>
                <w:rFonts w:cstheme="minorHAnsi"/>
                <w:sz w:val="20"/>
                <w:szCs w:val="20"/>
              </w:rPr>
            </w:pPr>
            <w:r w:rsidRPr="00174377">
              <w:rPr>
                <w:rFonts w:cstheme="minorHAnsi"/>
                <w:sz w:val="20"/>
                <w:szCs w:val="20"/>
                <w:lang w:val="en"/>
              </w:rPr>
              <w:t xml:space="preserve">The Centers for Medicare &amp; Medicaid Services (CMS) has begun a </w:t>
            </w:r>
            <w:hyperlink r:id="rId12" w:history="1">
              <w:r w:rsidRPr="00174377">
                <w:rPr>
                  <w:rStyle w:val="Hyperlink"/>
                  <w:rFonts w:cstheme="minorHAnsi"/>
                  <w:sz w:val="20"/>
                  <w:szCs w:val="20"/>
                  <w:lang w:val="en"/>
                </w:rPr>
                <w:t>three year pilot project</w:t>
              </w:r>
            </w:hyperlink>
            <w:r w:rsidRPr="00174377">
              <w:rPr>
                <w:rFonts w:cstheme="minorHAnsi"/>
                <w:sz w:val="20"/>
                <w:szCs w:val="20"/>
                <w:lang w:val="en"/>
              </w:rPr>
              <w:t xml:space="preserve"> to improve assessment of infection control and prevention regulations in nursing homes, hospitals, and during transitions of care. The long term goal of this pilot will be to develop an action plan for improvement and to organize on-site technical assistance in order to improve surveyor tools and survey processes to optimize infection control. </w:t>
            </w:r>
            <w:hyperlink r:id="rId13" w:history="1">
              <w:r w:rsidRPr="00174377">
                <w:rPr>
                  <w:rStyle w:val="Hyperlink"/>
                  <w:rFonts w:cstheme="minorHAnsi"/>
                  <w:sz w:val="20"/>
                  <w:szCs w:val="20"/>
                  <w:lang w:val="en"/>
                </w:rPr>
                <w:t>Read CMS Survey and Certification Memorandum</w:t>
              </w:r>
            </w:hyperlink>
            <w:r w:rsidRPr="00174377">
              <w:rPr>
                <w:rFonts w:cstheme="minorHAnsi"/>
                <w:sz w:val="20"/>
                <w:szCs w:val="20"/>
                <w:lang w:val="en"/>
              </w:rPr>
              <w:t>.</w:t>
            </w:r>
          </w:p>
        </w:tc>
        <w:tc>
          <w:tcPr>
            <w:tcW w:w="1620" w:type="dxa"/>
          </w:tcPr>
          <w:p w:rsidR="003F5437" w:rsidRPr="00174377" w:rsidRDefault="003F5437" w:rsidP="00AE22EC">
            <w:pPr>
              <w:rPr>
                <w:rFonts w:cstheme="minorHAnsi"/>
                <w:sz w:val="20"/>
                <w:szCs w:val="20"/>
              </w:rPr>
            </w:pPr>
            <w:r w:rsidRPr="00174377">
              <w:rPr>
                <w:rFonts w:cstheme="minorHAnsi"/>
                <w:sz w:val="20"/>
                <w:szCs w:val="20"/>
              </w:rPr>
              <w:t>12/29/15</w:t>
            </w:r>
          </w:p>
        </w:tc>
      </w:tr>
      <w:tr w:rsidR="003F5437" w:rsidRPr="00174377" w:rsidTr="00174377">
        <w:trPr>
          <w:cantSplit/>
        </w:trPr>
        <w:tc>
          <w:tcPr>
            <w:tcW w:w="440" w:type="dxa"/>
          </w:tcPr>
          <w:p w:rsidR="003F5437" w:rsidRPr="00174377" w:rsidRDefault="00174377" w:rsidP="00AE22EC">
            <w:pPr>
              <w:rPr>
                <w:rFonts w:cstheme="minorHAnsi"/>
                <w:sz w:val="20"/>
                <w:szCs w:val="20"/>
              </w:rPr>
            </w:pPr>
            <w:r w:rsidRPr="00174377">
              <w:rPr>
                <w:rFonts w:cstheme="minorHAnsi"/>
                <w:sz w:val="20"/>
                <w:szCs w:val="20"/>
              </w:rPr>
              <w:t>10</w:t>
            </w:r>
          </w:p>
        </w:tc>
        <w:tc>
          <w:tcPr>
            <w:tcW w:w="1277" w:type="dxa"/>
          </w:tcPr>
          <w:p w:rsidR="003F5437" w:rsidRPr="00174377" w:rsidRDefault="003F5437" w:rsidP="00AE22EC">
            <w:pPr>
              <w:rPr>
                <w:rFonts w:cstheme="minorHAnsi"/>
                <w:sz w:val="20"/>
                <w:szCs w:val="20"/>
              </w:rPr>
            </w:pPr>
            <w:r w:rsidRPr="00174377">
              <w:rPr>
                <w:rFonts w:cstheme="minorHAnsi"/>
                <w:sz w:val="20"/>
                <w:szCs w:val="20"/>
              </w:rPr>
              <w:t>NHSN funded—Merry Christmas!</w:t>
            </w:r>
          </w:p>
        </w:tc>
        <w:tc>
          <w:tcPr>
            <w:tcW w:w="1147" w:type="dxa"/>
          </w:tcPr>
          <w:p w:rsidR="003F5437" w:rsidRPr="00174377" w:rsidRDefault="003F5437" w:rsidP="00412299">
            <w:pPr>
              <w:rPr>
                <w:rFonts w:cstheme="minorHAnsi"/>
                <w:sz w:val="20"/>
                <w:szCs w:val="20"/>
              </w:rPr>
            </w:pPr>
            <w:r w:rsidRPr="00174377">
              <w:rPr>
                <w:rFonts w:cstheme="minorHAnsi"/>
                <w:sz w:val="20"/>
                <w:szCs w:val="20"/>
              </w:rPr>
              <w:t>CDC</w:t>
            </w:r>
          </w:p>
        </w:tc>
        <w:tc>
          <w:tcPr>
            <w:tcW w:w="6514" w:type="dxa"/>
          </w:tcPr>
          <w:p w:rsidR="003F5437" w:rsidRPr="00174377" w:rsidRDefault="003F5437" w:rsidP="00850166">
            <w:pPr>
              <w:pStyle w:val="Default"/>
              <w:rPr>
                <w:rFonts w:asciiTheme="minorHAnsi" w:hAnsiTheme="minorHAnsi" w:cstheme="minorHAnsi"/>
                <w:sz w:val="20"/>
                <w:szCs w:val="20"/>
              </w:rPr>
            </w:pPr>
            <w:r w:rsidRPr="00174377">
              <w:rPr>
                <w:rFonts w:asciiTheme="minorHAnsi" w:hAnsiTheme="minorHAnsi" w:cstheme="minorHAnsi"/>
                <w:sz w:val="20"/>
                <w:szCs w:val="20"/>
                <w:lang w:val="en"/>
              </w:rPr>
              <w:t>Congress passed, and the President signed, legislation providing funding to federal agencies through September 30, 2016. The legislation provides funding for several programs related to infection prevention and combating antimicrobial resistance. NHSN received $21 million in funding, a $3 million increase over the previous fiscal year. The Antibiotic Resistance Solutions Initiative, a new program within the Centers for Disease Control and Prevention, received $160 million in funding. More than 1,800 members wrote letters to their Members of Congress in support of APIC supported programs. </w:t>
            </w:r>
          </w:p>
        </w:tc>
        <w:tc>
          <w:tcPr>
            <w:tcW w:w="1620" w:type="dxa"/>
          </w:tcPr>
          <w:p w:rsidR="003F5437" w:rsidRPr="00174377" w:rsidRDefault="003F5437" w:rsidP="00AE22EC">
            <w:pPr>
              <w:rPr>
                <w:rFonts w:cstheme="minorHAnsi"/>
                <w:sz w:val="20"/>
                <w:szCs w:val="20"/>
              </w:rPr>
            </w:pPr>
            <w:r w:rsidRPr="00174377">
              <w:rPr>
                <w:rFonts w:cstheme="minorHAnsi"/>
                <w:sz w:val="20"/>
                <w:szCs w:val="20"/>
              </w:rPr>
              <w:t>12/23/15</w:t>
            </w:r>
          </w:p>
        </w:tc>
      </w:tr>
      <w:tr w:rsidR="003F5437" w:rsidRPr="00174377" w:rsidTr="00174377">
        <w:trPr>
          <w:cantSplit/>
        </w:trPr>
        <w:tc>
          <w:tcPr>
            <w:tcW w:w="440" w:type="dxa"/>
          </w:tcPr>
          <w:p w:rsidR="003F5437" w:rsidRPr="00174377" w:rsidRDefault="00174377" w:rsidP="00AE22EC">
            <w:pPr>
              <w:rPr>
                <w:rFonts w:cstheme="minorHAnsi"/>
                <w:sz w:val="20"/>
                <w:szCs w:val="20"/>
              </w:rPr>
            </w:pPr>
            <w:r w:rsidRPr="00174377">
              <w:rPr>
                <w:rFonts w:cstheme="minorHAnsi"/>
                <w:sz w:val="20"/>
                <w:szCs w:val="20"/>
              </w:rPr>
              <w:t>11</w:t>
            </w:r>
          </w:p>
        </w:tc>
        <w:tc>
          <w:tcPr>
            <w:tcW w:w="1277" w:type="dxa"/>
          </w:tcPr>
          <w:p w:rsidR="003F5437" w:rsidRPr="00174377" w:rsidRDefault="003F5437" w:rsidP="00AE22EC">
            <w:pPr>
              <w:rPr>
                <w:rFonts w:cstheme="minorHAnsi"/>
                <w:sz w:val="20"/>
                <w:szCs w:val="20"/>
              </w:rPr>
            </w:pPr>
            <w:r w:rsidRPr="00174377">
              <w:rPr>
                <w:rFonts w:cstheme="minorHAnsi"/>
                <w:sz w:val="20"/>
                <w:szCs w:val="20"/>
              </w:rPr>
              <w:t>PIP/TAZO/ CON-4PTC 256 recall</w:t>
            </w:r>
          </w:p>
        </w:tc>
        <w:tc>
          <w:tcPr>
            <w:tcW w:w="1147" w:type="dxa"/>
          </w:tcPr>
          <w:p w:rsidR="003F5437" w:rsidRPr="00174377" w:rsidRDefault="003F5437" w:rsidP="00412299">
            <w:pPr>
              <w:rPr>
                <w:rFonts w:cstheme="minorHAnsi"/>
                <w:sz w:val="20"/>
                <w:szCs w:val="20"/>
              </w:rPr>
            </w:pPr>
          </w:p>
        </w:tc>
        <w:tc>
          <w:tcPr>
            <w:tcW w:w="6514" w:type="dxa"/>
          </w:tcPr>
          <w:p w:rsidR="003F5437" w:rsidRPr="00174377" w:rsidRDefault="003F5437" w:rsidP="00850166">
            <w:pPr>
              <w:pStyle w:val="Default"/>
              <w:rPr>
                <w:rFonts w:asciiTheme="minorHAnsi" w:hAnsiTheme="minorHAnsi" w:cstheme="minorHAnsi"/>
                <w:color w:val="auto"/>
                <w:sz w:val="20"/>
                <w:szCs w:val="20"/>
                <w:lang w:val="en"/>
              </w:rPr>
            </w:pPr>
            <w:r w:rsidRPr="00174377">
              <w:rPr>
                <w:rFonts w:asciiTheme="minorHAnsi" w:hAnsiTheme="minorHAnsi" w:cstheme="minorHAnsi"/>
                <w:sz w:val="20"/>
                <w:szCs w:val="20"/>
                <w:lang w:val="en"/>
              </w:rPr>
              <w:t xml:space="preserve">bioMérieux recalled the Etest PIP/TAZO/CON-4 PTC 256 because the test results from the affected product may indicate that antibiotic therapy using PIP/TAZO could stop or slow the growth of certain bacteria when it may not actually be effective in treating those bacteria. The Etest PIP/TAZO/CON-4 PTC 256 is used by healthcare providers to help predict if the antibiotic Piperacillin/Tazobactam (PIP/TAZO) will be effective in treating serious infections. This error may result in inappropriate treatment of a patient’s infection and could cause serious patient health consequences, including increased time in the hospital, unnecessary tests or procedures, treatment failure, sepsis, and even death. </w:t>
            </w:r>
            <w:hyperlink r:id="rId14" w:history="1">
              <w:r w:rsidRPr="00174377">
                <w:rPr>
                  <w:rStyle w:val="Hyperlink"/>
                  <w:rFonts w:asciiTheme="minorHAnsi" w:hAnsiTheme="minorHAnsi" w:cstheme="minorHAnsi"/>
                  <w:sz w:val="20"/>
                  <w:szCs w:val="20"/>
                  <w:lang w:val="en"/>
                </w:rPr>
                <w:t>Read FDA Safety Alert</w:t>
              </w:r>
            </w:hyperlink>
            <w:r w:rsidRPr="00174377">
              <w:rPr>
                <w:rFonts w:asciiTheme="minorHAnsi" w:hAnsiTheme="minorHAnsi" w:cstheme="minorHAnsi"/>
                <w:sz w:val="20"/>
                <w:szCs w:val="20"/>
                <w:lang w:val="en"/>
              </w:rPr>
              <w:t>.</w:t>
            </w:r>
          </w:p>
        </w:tc>
        <w:tc>
          <w:tcPr>
            <w:tcW w:w="1620" w:type="dxa"/>
          </w:tcPr>
          <w:p w:rsidR="003F5437" w:rsidRPr="00174377" w:rsidRDefault="003F5437" w:rsidP="00AE22EC">
            <w:pPr>
              <w:rPr>
                <w:rFonts w:cstheme="minorHAnsi"/>
                <w:sz w:val="20"/>
                <w:szCs w:val="20"/>
              </w:rPr>
            </w:pPr>
            <w:r w:rsidRPr="00174377">
              <w:rPr>
                <w:rFonts w:cstheme="minorHAnsi"/>
                <w:sz w:val="20"/>
                <w:szCs w:val="20"/>
              </w:rPr>
              <w:t>12/22/15</w:t>
            </w:r>
          </w:p>
        </w:tc>
      </w:tr>
      <w:tr w:rsidR="003F5437" w:rsidRPr="00174377" w:rsidTr="00174377">
        <w:trPr>
          <w:cantSplit/>
        </w:trPr>
        <w:tc>
          <w:tcPr>
            <w:tcW w:w="440" w:type="dxa"/>
          </w:tcPr>
          <w:p w:rsidR="003F5437" w:rsidRPr="00174377" w:rsidRDefault="00174377" w:rsidP="00AE22EC">
            <w:pPr>
              <w:rPr>
                <w:rFonts w:cstheme="minorHAnsi"/>
                <w:sz w:val="20"/>
                <w:szCs w:val="20"/>
              </w:rPr>
            </w:pPr>
            <w:r w:rsidRPr="00174377">
              <w:rPr>
                <w:rFonts w:cstheme="minorHAnsi"/>
                <w:sz w:val="20"/>
                <w:szCs w:val="20"/>
              </w:rPr>
              <w:t>12</w:t>
            </w:r>
          </w:p>
        </w:tc>
        <w:tc>
          <w:tcPr>
            <w:tcW w:w="1277" w:type="dxa"/>
          </w:tcPr>
          <w:p w:rsidR="003F5437" w:rsidRPr="00174377" w:rsidRDefault="003F5437" w:rsidP="00AE22EC">
            <w:pPr>
              <w:rPr>
                <w:rFonts w:cstheme="minorHAnsi"/>
                <w:sz w:val="20"/>
                <w:szCs w:val="20"/>
              </w:rPr>
            </w:pPr>
            <w:r w:rsidRPr="00174377">
              <w:rPr>
                <w:rFonts w:cstheme="minorHAnsi"/>
                <w:sz w:val="20"/>
                <w:szCs w:val="20"/>
              </w:rPr>
              <w:t xml:space="preserve">FDA draft rec for vial labeling </w:t>
            </w:r>
          </w:p>
        </w:tc>
        <w:tc>
          <w:tcPr>
            <w:tcW w:w="1147" w:type="dxa"/>
          </w:tcPr>
          <w:p w:rsidR="003F5437" w:rsidRPr="00174377" w:rsidRDefault="003F5437" w:rsidP="00412299">
            <w:pPr>
              <w:rPr>
                <w:rFonts w:cstheme="minorHAnsi"/>
                <w:sz w:val="20"/>
                <w:szCs w:val="20"/>
              </w:rPr>
            </w:pPr>
            <w:r w:rsidRPr="00174377">
              <w:rPr>
                <w:rFonts w:cstheme="minorHAnsi"/>
                <w:sz w:val="20"/>
                <w:szCs w:val="20"/>
              </w:rPr>
              <w:t>FDA/APIC</w:t>
            </w:r>
          </w:p>
        </w:tc>
        <w:tc>
          <w:tcPr>
            <w:tcW w:w="6514" w:type="dxa"/>
          </w:tcPr>
          <w:p w:rsidR="003F5437" w:rsidRPr="00174377" w:rsidRDefault="000A27BE" w:rsidP="00850166">
            <w:pPr>
              <w:pStyle w:val="Default"/>
              <w:rPr>
                <w:rFonts w:asciiTheme="minorHAnsi" w:hAnsiTheme="minorHAnsi" w:cstheme="minorHAnsi"/>
                <w:sz w:val="20"/>
                <w:szCs w:val="20"/>
              </w:rPr>
            </w:pPr>
            <w:hyperlink r:id="rId15" w:history="1">
              <w:r w:rsidR="003F5437" w:rsidRPr="00174377">
                <w:rPr>
                  <w:rFonts w:asciiTheme="minorHAnsi" w:hAnsiTheme="minorHAnsi" w:cstheme="minorHAnsi"/>
                  <w:color w:val="0000FF"/>
                  <w:sz w:val="20"/>
                  <w:szCs w:val="20"/>
                  <w:u w:val="single"/>
                  <w:lang w:val="en"/>
                </w:rPr>
                <w:t>APIC supported</w:t>
              </w:r>
            </w:hyperlink>
            <w:r w:rsidR="003F5437" w:rsidRPr="00174377">
              <w:rPr>
                <w:rFonts w:asciiTheme="minorHAnsi" w:hAnsiTheme="minorHAnsi" w:cstheme="minorHAnsi"/>
                <w:color w:val="auto"/>
                <w:sz w:val="20"/>
                <w:szCs w:val="20"/>
                <w:lang w:val="en"/>
              </w:rPr>
              <w:t xml:space="preserve"> the </w:t>
            </w:r>
            <w:hyperlink r:id="rId16" w:history="1">
              <w:r w:rsidR="003F5437" w:rsidRPr="00174377">
                <w:rPr>
                  <w:rFonts w:asciiTheme="minorHAnsi" w:hAnsiTheme="minorHAnsi" w:cstheme="minorHAnsi"/>
                  <w:color w:val="0000FF"/>
                  <w:sz w:val="20"/>
                  <w:szCs w:val="20"/>
                  <w:u w:val="single"/>
                  <w:lang w:val="en"/>
                </w:rPr>
                <w:t>Food and Drug Administration’s (FDA) draft recommendations</w:t>
              </w:r>
            </w:hyperlink>
            <w:r w:rsidR="003F5437" w:rsidRPr="00174377">
              <w:rPr>
                <w:rFonts w:asciiTheme="minorHAnsi" w:hAnsiTheme="minorHAnsi" w:cstheme="minorHAnsi"/>
                <w:color w:val="auto"/>
                <w:sz w:val="20"/>
                <w:szCs w:val="20"/>
                <w:lang w:val="en"/>
              </w:rPr>
              <w:t xml:space="preserve"> to manufacturers on consistent terminology for package labeling of injectable medical products. In order to prevent misuse and misunderstanding by healthcare personnel, FDA proposes to retire the term “single-use”. Instead, packages and containers would be labeled according to newly enhanced definitions of “multiple-dose”, “single-dose”, or “single-patient-use” to identify the intended use of the product. </w:t>
            </w:r>
            <w:hyperlink r:id="rId17" w:history="1">
              <w:r w:rsidR="003F5437" w:rsidRPr="00174377">
                <w:rPr>
                  <w:rFonts w:asciiTheme="minorHAnsi" w:hAnsiTheme="minorHAnsi" w:cstheme="minorHAnsi"/>
                  <w:color w:val="0000FF"/>
                  <w:sz w:val="20"/>
                  <w:szCs w:val="20"/>
                  <w:u w:val="single"/>
                  <w:lang w:val="en"/>
                </w:rPr>
                <w:t>Read APIC’s comments</w:t>
              </w:r>
            </w:hyperlink>
            <w:r w:rsidR="003F5437" w:rsidRPr="00174377">
              <w:rPr>
                <w:rFonts w:asciiTheme="minorHAnsi" w:hAnsiTheme="minorHAnsi" w:cstheme="minorHAnsi"/>
                <w:color w:val="auto"/>
                <w:sz w:val="20"/>
                <w:szCs w:val="20"/>
                <w:lang w:val="en"/>
              </w:rPr>
              <w:t>.</w:t>
            </w:r>
          </w:p>
        </w:tc>
        <w:tc>
          <w:tcPr>
            <w:tcW w:w="1620" w:type="dxa"/>
          </w:tcPr>
          <w:p w:rsidR="003F5437" w:rsidRPr="00174377" w:rsidRDefault="003F5437" w:rsidP="00AE22EC">
            <w:pPr>
              <w:rPr>
                <w:rFonts w:cstheme="minorHAnsi"/>
                <w:sz w:val="20"/>
                <w:szCs w:val="20"/>
              </w:rPr>
            </w:pPr>
            <w:r w:rsidRPr="00174377">
              <w:rPr>
                <w:rFonts w:cstheme="minorHAnsi"/>
                <w:sz w:val="20"/>
                <w:szCs w:val="20"/>
              </w:rPr>
              <w:t>Pending</w:t>
            </w:r>
          </w:p>
        </w:tc>
      </w:tr>
      <w:tr w:rsidR="006F239D" w:rsidRPr="00174377" w:rsidTr="00174377">
        <w:trPr>
          <w:cantSplit/>
        </w:trPr>
        <w:tc>
          <w:tcPr>
            <w:tcW w:w="440" w:type="dxa"/>
          </w:tcPr>
          <w:p w:rsidR="00AE22EC" w:rsidRPr="00174377" w:rsidRDefault="00174377" w:rsidP="00AE22EC">
            <w:pPr>
              <w:rPr>
                <w:rFonts w:cstheme="minorHAnsi"/>
                <w:sz w:val="20"/>
                <w:szCs w:val="20"/>
              </w:rPr>
            </w:pPr>
            <w:r w:rsidRPr="00174377">
              <w:rPr>
                <w:rFonts w:cstheme="minorHAnsi"/>
                <w:sz w:val="20"/>
                <w:szCs w:val="20"/>
              </w:rPr>
              <w:t>13</w:t>
            </w:r>
          </w:p>
        </w:tc>
        <w:tc>
          <w:tcPr>
            <w:tcW w:w="1277" w:type="dxa"/>
          </w:tcPr>
          <w:p w:rsidR="00AE22EC" w:rsidRPr="00174377" w:rsidRDefault="00850166" w:rsidP="00AE22EC">
            <w:pPr>
              <w:rPr>
                <w:rFonts w:cstheme="minorHAnsi"/>
                <w:sz w:val="20"/>
                <w:szCs w:val="20"/>
              </w:rPr>
            </w:pPr>
            <w:r w:rsidRPr="00174377">
              <w:rPr>
                <w:rFonts w:cstheme="minorHAnsi"/>
                <w:sz w:val="20"/>
                <w:szCs w:val="20"/>
              </w:rPr>
              <w:t>AFL 15-23</w:t>
            </w:r>
          </w:p>
        </w:tc>
        <w:tc>
          <w:tcPr>
            <w:tcW w:w="1147" w:type="dxa"/>
          </w:tcPr>
          <w:p w:rsidR="00AE22EC" w:rsidRPr="00174377" w:rsidRDefault="00850166" w:rsidP="00412299">
            <w:pPr>
              <w:rPr>
                <w:rFonts w:cstheme="minorHAnsi"/>
                <w:sz w:val="20"/>
                <w:szCs w:val="20"/>
              </w:rPr>
            </w:pPr>
            <w:r w:rsidRPr="00174377">
              <w:rPr>
                <w:rFonts w:cstheme="minorHAnsi"/>
                <w:sz w:val="20"/>
                <w:szCs w:val="20"/>
              </w:rPr>
              <w:t>CDPH</w:t>
            </w:r>
          </w:p>
        </w:tc>
        <w:tc>
          <w:tcPr>
            <w:tcW w:w="6514" w:type="dxa"/>
          </w:tcPr>
          <w:p w:rsidR="00850166" w:rsidRPr="00174377" w:rsidRDefault="00850166" w:rsidP="00850166">
            <w:pPr>
              <w:pStyle w:val="Default"/>
              <w:rPr>
                <w:rFonts w:asciiTheme="minorHAnsi" w:hAnsiTheme="minorHAnsi" w:cstheme="minorHAnsi"/>
                <w:sz w:val="20"/>
                <w:szCs w:val="20"/>
              </w:rPr>
            </w:pPr>
            <w:r w:rsidRPr="00174377">
              <w:rPr>
                <w:rFonts w:asciiTheme="minorHAnsi" w:hAnsiTheme="minorHAnsi" w:cstheme="minorHAnsi"/>
                <w:sz w:val="20"/>
                <w:szCs w:val="20"/>
              </w:rPr>
              <w:t xml:space="preserve">CMS issued Survey and Certification (S&amp;C) letter S&amp;C-14-12 on February 28, 2014, which updated the S&amp;C Emergency Preparedness Checklist – Recommended Tool for Effective Health Care Facility Planning. The updated checklist can be found at the S&amp;C Emergency Preparedness website: </w:t>
            </w:r>
          </w:p>
          <w:p w:rsidR="00AE22EC" w:rsidRPr="00174377" w:rsidRDefault="00850166" w:rsidP="00850166">
            <w:pPr>
              <w:rPr>
                <w:rFonts w:cstheme="minorHAnsi"/>
                <w:sz w:val="20"/>
                <w:szCs w:val="20"/>
              </w:rPr>
            </w:pPr>
            <w:r w:rsidRPr="00174377">
              <w:rPr>
                <w:rFonts w:cstheme="minorHAnsi"/>
                <w:color w:val="0000FF"/>
                <w:sz w:val="20"/>
                <w:szCs w:val="20"/>
              </w:rPr>
              <w:t>http://www.cms.hhs.gov/SurveyCertEmergPrep/</w:t>
            </w:r>
          </w:p>
        </w:tc>
        <w:tc>
          <w:tcPr>
            <w:tcW w:w="1620" w:type="dxa"/>
          </w:tcPr>
          <w:p w:rsidR="00AE22EC" w:rsidRPr="00174377" w:rsidRDefault="00850166" w:rsidP="00AE22EC">
            <w:pPr>
              <w:rPr>
                <w:rFonts w:cstheme="minorHAnsi"/>
                <w:sz w:val="20"/>
                <w:szCs w:val="20"/>
              </w:rPr>
            </w:pPr>
            <w:r w:rsidRPr="00174377">
              <w:rPr>
                <w:rFonts w:cstheme="minorHAnsi"/>
                <w:sz w:val="20"/>
                <w:szCs w:val="20"/>
              </w:rPr>
              <w:t>Immediate</w:t>
            </w:r>
          </w:p>
        </w:tc>
      </w:tr>
      <w:tr w:rsidR="006F239D" w:rsidRPr="00174377" w:rsidTr="00174377">
        <w:trPr>
          <w:cantSplit/>
        </w:trPr>
        <w:tc>
          <w:tcPr>
            <w:tcW w:w="440" w:type="dxa"/>
          </w:tcPr>
          <w:p w:rsidR="006F239D" w:rsidRPr="00174377" w:rsidRDefault="00174377" w:rsidP="00AE22EC">
            <w:pPr>
              <w:rPr>
                <w:rFonts w:cstheme="minorHAnsi"/>
                <w:sz w:val="20"/>
                <w:szCs w:val="20"/>
              </w:rPr>
            </w:pPr>
            <w:r w:rsidRPr="00174377">
              <w:rPr>
                <w:rFonts w:cstheme="minorHAnsi"/>
                <w:sz w:val="20"/>
                <w:szCs w:val="20"/>
              </w:rPr>
              <w:t>14</w:t>
            </w:r>
          </w:p>
        </w:tc>
        <w:tc>
          <w:tcPr>
            <w:tcW w:w="1277" w:type="dxa"/>
          </w:tcPr>
          <w:p w:rsidR="006F239D" w:rsidRPr="00174377" w:rsidRDefault="006F239D" w:rsidP="00AE22EC">
            <w:pPr>
              <w:rPr>
                <w:rFonts w:cstheme="minorHAnsi"/>
                <w:sz w:val="20"/>
                <w:szCs w:val="20"/>
              </w:rPr>
            </w:pPr>
            <w:r w:rsidRPr="00174377">
              <w:rPr>
                <w:rFonts w:cstheme="minorHAnsi"/>
                <w:sz w:val="20"/>
                <w:szCs w:val="20"/>
              </w:rPr>
              <w:t>FDA Rec to Transistion away from Custom Ultrasonics Endoscope Washer/ Disinfectors</w:t>
            </w:r>
          </w:p>
        </w:tc>
        <w:tc>
          <w:tcPr>
            <w:tcW w:w="1147" w:type="dxa"/>
          </w:tcPr>
          <w:p w:rsidR="006F239D" w:rsidRPr="00174377" w:rsidRDefault="006F239D" w:rsidP="00412299">
            <w:pPr>
              <w:rPr>
                <w:rFonts w:cstheme="minorHAnsi"/>
                <w:sz w:val="20"/>
                <w:szCs w:val="20"/>
              </w:rPr>
            </w:pPr>
            <w:r w:rsidRPr="00174377">
              <w:rPr>
                <w:rFonts w:cstheme="minorHAnsi"/>
                <w:sz w:val="20"/>
                <w:szCs w:val="20"/>
              </w:rPr>
              <w:t>FDA</w:t>
            </w:r>
          </w:p>
        </w:tc>
        <w:tc>
          <w:tcPr>
            <w:tcW w:w="6514" w:type="dxa"/>
          </w:tcPr>
          <w:p w:rsidR="006F239D" w:rsidRPr="00174377" w:rsidRDefault="006F239D" w:rsidP="006F239D">
            <w:pPr>
              <w:pStyle w:val="NormalWeb"/>
              <w:rPr>
                <w:rFonts w:asciiTheme="minorHAnsi" w:hAnsiTheme="minorHAnsi" w:cstheme="minorHAnsi"/>
                <w:sz w:val="20"/>
                <w:szCs w:val="20"/>
              </w:rPr>
            </w:pPr>
            <w:r w:rsidRPr="00174377">
              <w:rPr>
                <w:rFonts w:asciiTheme="minorHAnsi" w:hAnsiTheme="minorHAnsi" w:cstheme="minorHAnsi"/>
                <w:sz w:val="20"/>
                <w:szCs w:val="20"/>
              </w:rPr>
              <w:t>Today, the FDA issued the Safety Communication, “</w:t>
            </w:r>
            <w:hyperlink r:id="rId18" w:history="1">
              <w:r w:rsidRPr="00174377">
                <w:rPr>
                  <w:rStyle w:val="Hyperlink"/>
                  <w:rFonts w:asciiTheme="minorHAnsi" w:hAnsiTheme="minorHAnsi" w:cstheme="minorHAnsi"/>
                  <w:sz w:val="20"/>
                  <w:szCs w:val="20"/>
                </w:rPr>
                <w:t>FDA Recommends Health Care Facilities Transition from Custom Ultrasonics Endoscope Washer/Disinfectors to Alternate Reprocessing Methods</w:t>
              </w:r>
            </w:hyperlink>
            <w:r w:rsidRPr="00174377">
              <w:rPr>
                <w:rFonts w:asciiTheme="minorHAnsi" w:hAnsiTheme="minorHAnsi" w:cstheme="minorHAnsi"/>
                <w:sz w:val="20"/>
                <w:szCs w:val="20"/>
              </w:rPr>
              <w:t>” to notify health care professionals about our concerns with the safety and effectiveness of all Custom Ultrasonics’ AER models.  This communication provides recommended actions health care facilities should take if they use Custom Ultrasonics’ AERs because of the risk of transmission of infectious organisms to patients.</w:t>
            </w:r>
          </w:p>
        </w:tc>
        <w:tc>
          <w:tcPr>
            <w:tcW w:w="1620" w:type="dxa"/>
          </w:tcPr>
          <w:p w:rsidR="006F239D" w:rsidRPr="00174377" w:rsidRDefault="006F239D" w:rsidP="00AE22EC">
            <w:pPr>
              <w:rPr>
                <w:rFonts w:cstheme="minorHAnsi"/>
                <w:sz w:val="20"/>
                <w:szCs w:val="20"/>
              </w:rPr>
            </w:pPr>
            <w:r w:rsidRPr="00174377">
              <w:rPr>
                <w:rFonts w:cstheme="minorHAnsi"/>
                <w:sz w:val="20"/>
                <w:szCs w:val="20"/>
              </w:rPr>
              <w:t>11/13/15</w:t>
            </w:r>
          </w:p>
        </w:tc>
      </w:tr>
    </w:tbl>
    <w:p w:rsidR="00AE22EC" w:rsidRDefault="00AE22EC" w:rsidP="00AE22EC">
      <w:pPr>
        <w:spacing w:after="0" w:line="240" w:lineRule="auto"/>
      </w:pPr>
      <w:r>
        <w:t xml:space="preserve">All AFLs available here: </w:t>
      </w:r>
      <w:hyperlink r:id="rId19" w:history="1">
        <w:r w:rsidRPr="00240F7F">
          <w:rPr>
            <w:rStyle w:val="Hyperlink"/>
          </w:rPr>
          <w:t>http://www.cdph.ca.gov/certlic/facilities/Pages/LnCAFL.aspx</w:t>
        </w:r>
      </w:hyperlink>
      <w:r>
        <w:t xml:space="preserve"> </w:t>
      </w:r>
    </w:p>
    <w:sectPr w:rsidR="00AE22EC" w:rsidSect="0017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EC"/>
    <w:rsid w:val="000A27BE"/>
    <w:rsid w:val="00174377"/>
    <w:rsid w:val="003F5437"/>
    <w:rsid w:val="006140CA"/>
    <w:rsid w:val="006F239D"/>
    <w:rsid w:val="00850166"/>
    <w:rsid w:val="00AE22EC"/>
    <w:rsid w:val="00BD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2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22EC"/>
    <w:rPr>
      <w:color w:val="0000FF" w:themeColor="hyperlink"/>
      <w:u w:val="single"/>
    </w:rPr>
  </w:style>
  <w:style w:type="paragraph" w:styleId="NormalWeb">
    <w:name w:val="Normal (Web)"/>
    <w:basedOn w:val="Normal"/>
    <w:uiPriority w:val="99"/>
    <w:unhideWhenUsed/>
    <w:rsid w:val="006F239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2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22EC"/>
    <w:rPr>
      <w:color w:val="0000FF" w:themeColor="hyperlink"/>
      <w:u w:val="single"/>
    </w:rPr>
  </w:style>
  <w:style w:type="paragraph" w:styleId="NormalWeb">
    <w:name w:val="Normal (Web)"/>
    <w:basedOn w:val="Normal"/>
    <w:uiPriority w:val="99"/>
    <w:unhideWhenUsed/>
    <w:rsid w:val="006F239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99073">
      <w:bodyDiv w:val="1"/>
      <w:marLeft w:val="0"/>
      <w:marRight w:val="0"/>
      <w:marTop w:val="0"/>
      <w:marBottom w:val="0"/>
      <w:divBdr>
        <w:top w:val="none" w:sz="0" w:space="0" w:color="auto"/>
        <w:left w:val="none" w:sz="0" w:space="0" w:color="auto"/>
        <w:bottom w:val="none" w:sz="0" w:space="0" w:color="auto"/>
        <w:right w:val="none" w:sz="0" w:space="0" w:color="auto"/>
      </w:divBdr>
      <w:divsChild>
        <w:div w:id="412430246">
          <w:marLeft w:val="0"/>
          <w:marRight w:val="0"/>
          <w:marTop w:val="0"/>
          <w:marBottom w:val="0"/>
          <w:divBdr>
            <w:top w:val="none" w:sz="0" w:space="0" w:color="auto"/>
            <w:left w:val="none" w:sz="0" w:space="0" w:color="auto"/>
            <w:bottom w:val="none" w:sz="0" w:space="0" w:color="auto"/>
            <w:right w:val="none" w:sz="0" w:space="0" w:color="auto"/>
          </w:divBdr>
          <w:divsChild>
            <w:div w:id="1016929282">
              <w:marLeft w:val="0"/>
              <w:marRight w:val="0"/>
              <w:marTop w:val="0"/>
              <w:marBottom w:val="0"/>
              <w:divBdr>
                <w:top w:val="none" w:sz="0" w:space="0" w:color="auto"/>
                <w:left w:val="none" w:sz="0" w:space="0" w:color="auto"/>
                <w:bottom w:val="none" w:sz="0" w:space="0" w:color="auto"/>
                <w:right w:val="none" w:sz="0" w:space="0" w:color="auto"/>
              </w:divBdr>
              <w:divsChild>
                <w:div w:id="946811799">
                  <w:marLeft w:val="0"/>
                  <w:marRight w:val="0"/>
                  <w:marTop w:val="0"/>
                  <w:marBottom w:val="0"/>
                  <w:divBdr>
                    <w:top w:val="none" w:sz="0" w:space="0" w:color="auto"/>
                    <w:left w:val="none" w:sz="0" w:space="0" w:color="auto"/>
                    <w:bottom w:val="none" w:sz="0" w:space="0" w:color="auto"/>
                    <w:right w:val="none" w:sz="0" w:space="0" w:color="auto"/>
                  </w:divBdr>
                  <w:divsChild>
                    <w:div w:id="805048529">
                      <w:marLeft w:val="0"/>
                      <w:marRight w:val="0"/>
                      <w:marTop w:val="0"/>
                      <w:marBottom w:val="0"/>
                      <w:divBdr>
                        <w:top w:val="none" w:sz="0" w:space="0" w:color="auto"/>
                        <w:left w:val="none" w:sz="0" w:space="0" w:color="auto"/>
                        <w:bottom w:val="none" w:sz="0" w:space="0" w:color="auto"/>
                        <w:right w:val="none" w:sz="0" w:space="0" w:color="auto"/>
                      </w:divBdr>
                      <w:divsChild>
                        <w:div w:id="1796024104">
                          <w:marLeft w:val="0"/>
                          <w:marRight w:val="0"/>
                          <w:marTop w:val="0"/>
                          <w:marBottom w:val="0"/>
                          <w:divBdr>
                            <w:top w:val="none" w:sz="0" w:space="0" w:color="auto"/>
                            <w:left w:val="none" w:sz="0" w:space="0" w:color="auto"/>
                            <w:bottom w:val="none" w:sz="0" w:space="0" w:color="auto"/>
                            <w:right w:val="none" w:sz="0" w:space="0" w:color="auto"/>
                          </w:divBdr>
                          <w:divsChild>
                            <w:div w:id="130557277">
                              <w:marLeft w:val="0"/>
                              <w:marRight w:val="0"/>
                              <w:marTop w:val="0"/>
                              <w:marBottom w:val="0"/>
                              <w:divBdr>
                                <w:top w:val="none" w:sz="0" w:space="0" w:color="auto"/>
                                <w:left w:val="none" w:sz="0" w:space="0" w:color="auto"/>
                                <w:bottom w:val="none" w:sz="0" w:space="0" w:color="auto"/>
                                <w:right w:val="none" w:sz="0" w:space="0" w:color="auto"/>
                              </w:divBdr>
                              <w:divsChild>
                                <w:div w:id="4011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0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c.org/Resource_/TinyMceFileManager/Advocacy-PDFs/2016_NHSN_training_registration_invite.pdf" TargetMode="External"/><Relationship Id="rId13" Type="http://schemas.openxmlformats.org/officeDocument/2006/relationships/hyperlink" Target="http://www.apic.org/Resource_/TinyMceFileManager/Advocacy-PDFs/SC16-05_Infection_Control_Pilot_for_NH_12-23-15.pdf" TargetMode="External"/><Relationship Id="rId18" Type="http://schemas.openxmlformats.org/officeDocument/2006/relationships/hyperlink" Target="http://links.govdelivery.com:80/track?type=click&amp;enid=ZWFzPTEmbWFpbGluZ2lkPTIwMTUxMTEzLjUxNDI2NDAxJm1lc3NhZ2VpZD1NREItUFJELUJVTC0yMDE1MTExMy41MTQyNjQwMSZkYXRhYmFzZWlkPTEwMDEmc2VyaWFsPTE3MjIxMjk3JmVtYWlsaWQ9UmViZWNjYS50YXlsb3JAdWNzZi5lZHUmdXNlcmlkPVJlYmVjY2EudGF5bG9yQHVjc2YuZWR1JmZsPSZleHRyYT1NdWx0aXZhcmlhdGVJZD0mJiY=&amp;&amp;&amp;100&amp;&amp;&amp;http://www.fda.gov/MedicalDevices/Safety/AlertsandNotices/ucm472462.htm?source=govdelivery&amp;utm_medium=email&amp;utm_source=govdelive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pic.org/Resource_/TinyMceFileManager/Advocacy-PDFs/2016_NHSN_training_registration_invite.pdf" TargetMode="External"/><Relationship Id="rId12" Type="http://schemas.openxmlformats.org/officeDocument/2006/relationships/hyperlink" Target="http://www.apic.org/Resource_/TinyMceFileManager/Advocacy-PDFs/SC16-05_Infection_Control_Pilot_for_NH_12-23-15.pdf" TargetMode="External"/><Relationship Id="rId17" Type="http://schemas.openxmlformats.org/officeDocument/2006/relationships/hyperlink" Target="http://www.apic.org/Resource_/TinyMceFileManager/Advocacy-PDFs/Injectable_medical_products_-_FDA_terminology_and_labeling_--_final_12-17-15.pdf" TargetMode="External"/><Relationship Id="rId2" Type="http://schemas.microsoft.com/office/2007/relationships/stylesWithEffects" Target="stylesWithEffects.xml"/><Relationship Id="rId16" Type="http://schemas.openxmlformats.org/officeDocument/2006/relationships/hyperlink" Target="http://www.fda.gov/downloads/Drugs/GuidanceComplianceRegulatoryInformation/Guidances/UCM468228.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da.gov/NewsEvents/Newsroom/PressAnnouncements/ucm481228.htm?source=govdelivery&amp;utm_medium=email&amp;utm_source=govdelivery" TargetMode="External"/><Relationship Id="rId11" Type="http://schemas.openxmlformats.org/officeDocument/2006/relationships/hyperlink" Target="http://www.jointcommission.org/ambulatory_buzz/joining_forces_for_patient_safety/" TargetMode="External"/><Relationship Id="rId5" Type="http://schemas.openxmlformats.org/officeDocument/2006/relationships/hyperlink" Target="http://www.fda.gov/NewsEvents/Newsroom/PressAnnouncements/ucm481228.htm?source=govdelivery&amp;utm_medium=email&amp;utm_source=govdelivery" TargetMode="External"/><Relationship Id="rId15" Type="http://schemas.openxmlformats.org/officeDocument/2006/relationships/hyperlink" Target="http://www.apic.org/Resource_/TinyMceFileManager/Advocacy-PDFs/Injectable_medical_products_-_FDA_terminology_and_labeling_--_final_12-17-15.pdf" TargetMode="External"/><Relationship Id="rId10" Type="http://schemas.openxmlformats.org/officeDocument/2006/relationships/hyperlink" Target="http://www.apic.org/Resource_/TinyMceFileManager/Advocacy-PDFs/Release_Notes_NHSN_8_5_Final_1-9-16.pdf" TargetMode="External"/><Relationship Id="rId19" Type="http://schemas.openxmlformats.org/officeDocument/2006/relationships/hyperlink" Target="http://www.cdph.ca.gov/certlic/facilities/Pages/LnCAFL.aspx" TargetMode="External"/><Relationship Id="rId4" Type="http://schemas.openxmlformats.org/officeDocument/2006/relationships/webSettings" Target="webSettings.xml"/><Relationship Id="rId9" Type="http://schemas.openxmlformats.org/officeDocument/2006/relationships/hyperlink" Target="https://events.membersolutions.com/event_register.asp?content_id=60612" TargetMode="External"/><Relationship Id="rId14" Type="http://schemas.openxmlformats.org/officeDocument/2006/relationships/hyperlink" Target="http://www.fda.gov/Safety/MedWatch/SafetyInformation/SafetyAlertsforHumanMedicalProducts/ucm479208.htm?source=govdelivery&amp;utm_medium=email&amp;utm_source=gov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UCSF Medical Center</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Amy (Infection Control)</dc:creator>
  <cp:lastModifiedBy>Stanley, Joan (Kim)</cp:lastModifiedBy>
  <cp:revision>2</cp:revision>
  <dcterms:created xsi:type="dcterms:W3CDTF">2016-07-15T18:25:00Z</dcterms:created>
  <dcterms:modified xsi:type="dcterms:W3CDTF">2016-07-15T18:25:00Z</dcterms:modified>
</cp:coreProperties>
</file>