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6CA45" w14:textId="5A55BF1F" w:rsidR="006B0981" w:rsidRDefault="00015CDB" w:rsidP="009836FB">
      <w:pPr>
        <w:jc w:val="center"/>
        <w:rPr>
          <w:b/>
        </w:rPr>
      </w:pPr>
      <w:r>
        <w:rPr>
          <w:b/>
        </w:rPr>
        <w:t>Committee on Women in Statistics (COWIS)</w:t>
      </w:r>
    </w:p>
    <w:p w14:paraId="198A9874" w14:textId="77777777" w:rsidR="006B0981" w:rsidRDefault="00015CDB">
      <w:pPr>
        <w:rPr>
          <w:b/>
        </w:rPr>
      </w:pPr>
      <w:r>
        <w:rPr>
          <w:b/>
        </w:rPr>
        <w:t>Committee Chair: Saki Kinney</w:t>
      </w:r>
    </w:p>
    <w:p w14:paraId="75075661" w14:textId="77777777" w:rsidR="006B0981" w:rsidRDefault="00015CDB">
      <w:pPr>
        <w:rPr>
          <w:b/>
        </w:rPr>
      </w:pPr>
      <w:r>
        <w:rPr>
          <w:b/>
        </w:rPr>
        <w:t>Committee Vice-Chair: Stephanie Hicks</w:t>
      </w:r>
    </w:p>
    <w:p w14:paraId="3589C8F1" w14:textId="77777777" w:rsidR="006B0981" w:rsidRDefault="006B0981">
      <w:pPr>
        <w:rPr>
          <w:b/>
        </w:rPr>
      </w:pPr>
    </w:p>
    <w:p w14:paraId="01EE8937" w14:textId="7DF3111C" w:rsidR="006B0981" w:rsidRDefault="009836FB">
      <w:pPr>
        <w:rPr>
          <w:b/>
        </w:rPr>
      </w:pPr>
      <w:r>
        <w:rPr>
          <w:b/>
        </w:rPr>
        <w:t>2018</w:t>
      </w:r>
      <w:r w:rsidR="00015CDB">
        <w:rPr>
          <w:b/>
        </w:rPr>
        <w:t xml:space="preserve"> accomplishments</w:t>
      </w:r>
      <w:r>
        <w:rPr>
          <w:b/>
        </w:rPr>
        <w:t xml:space="preserve"> (meets quarterly)</w:t>
      </w:r>
    </w:p>
    <w:p w14:paraId="0B8BD38A" w14:textId="6632548A" w:rsidR="006B0981" w:rsidRDefault="00015CDB">
      <w:r>
        <w:t>JSM</w:t>
      </w:r>
      <w:r>
        <w:t>:</w:t>
      </w:r>
    </w:p>
    <w:p w14:paraId="0E3F1E6B" w14:textId="3D0FAB77" w:rsidR="006B0981" w:rsidRDefault="00015CDB">
      <w:pPr>
        <w:numPr>
          <w:ilvl w:val="0"/>
          <w:numId w:val="4"/>
        </w:numPr>
      </w:pPr>
      <w:r>
        <w:t>Late</w:t>
      </w:r>
      <w:r>
        <w:t xml:space="preserve">-breaking </w:t>
      </w:r>
      <w:proofErr w:type="gramStart"/>
      <w:r>
        <w:t>session</w:t>
      </w:r>
      <w:r w:rsidR="009836FB">
        <w:t xml:space="preserve"> </w:t>
      </w:r>
      <w:r>
        <w:t xml:space="preserve"> </w:t>
      </w:r>
      <w:r w:rsidR="00920AEF">
        <w:t>on</w:t>
      </w:r>
      <w:proofErr w:type="gramEnd"/>
      <w:r w:rsidR="00920AEF">
        <w:t xml:space="preserve"> a</w:t>
      </w:r>
      <w:r>
        <w:t xml:space="preserve">ddressing sexual harassment in the statistics community </w:t>
      </w:r>
      <w:r>
        <w:t xml:space="preserve">was </w:t>
      </w:r>
      <w:r w:rsidR="00EB5075">
        <w:t xml:space="preserve">also </w:t>
      </w:r>
      <w:r>
        <w:t>recorded and posted on YouTube</w:t>
      </w:r>
    </w:p>
    <w:p w14:paraId="41B96081" w14:textId="77777777" w:rsidR="00EB5075" w:rsidRDefault="00EB5075" w:rsidP="00EB5075">
      <w:pPr>
        <w:numPr>
          <w:ilvl w:val="0"/>
          <w:numId w:val="4"/>
        </w:numPr>
      </w:pPr>
      <w:r>
        <w:t xml:space="preserve">Invited panel on the </w:t>
      </w:r>
      <w:r w:rsidR="00015CDB">
        <w:t>Impostor synd</w:t>
      </w:r>
      <w:r w:rsidR="00015CDB">
        <w:t xml:space="preserve">rome </w:t>
      </w:r>
      <w:r w:rsidR="00015CDB">
        <w:t xml:space="preserve">co-sponsored with the Committee on Minorities in Statistics. </w:t>
      </w:r>
    </w:p>
    <w:p w14:paraId="2895EA70" w14:textId="19D9A646" w:rsidR="006B0981" w:rsidRDefault="00EB5075">
      <w:pPr>
        <w:numPr>
          <w:ilvl w:val="0"/>
          <w:numId w:val="3"/>
        </w:numPr>
      </w:pPr>
      <w:r>
        <w:t>Posted features of statisticians for</w:t>
      </w:r>
      <w:r w:rsidR="00015CDB">
        <w:t xml:space="preserve"> wome</w:t>
      </w:r>
      <w:r w:rsidR="00015CDB">
        <w:t xml:space="preserve">n’s history month </w:t>
      </w:r>
      <w:r>
        <w:t>on AmStat.Org and</w:t>
      </w:r>
      <w:r w:rsidR="00015CDB">
        <w:t xml:space="preserve"> social media</w:t>
      </w:r>
      <w:r w:rsidR="00015CDB">
        <w:t xml:space="preserve">. </w:t>
      </w:r>
      <w:r w:rsidR="00920AEF">
        <w:t>Started</w:t>
      </w:r>
      <w:r w:rsidR="00015CDB">
        <w:t xml:space="preserve"> </w:t>
      </w:r>
      <w:r w:rsidR="00920AEF">
        <w:t>a</w:t>
      </w:r>
      <w:r w:rsidR="00015CDB">
        <w:t xml:space="preserve"> recommendations</w:t>
      </w:r>
      <w:r>
        <w:t xml:space="preserve"> </w:t>
      </w:r>
      <w:r w:rsidR="00920AEF">
        <w:t xml:space="preserve">list </w:t>
      </w:r>
      <w:r>
        <w:t>for the future.  Please contribute</w:t>
      </w:r>
    </w:p>
    <w:p w14:paraId="33350ED3" w14:textId="77777777" w:rsidR="00920AEF" w:rsidRDefault="00EB5075" w:rsidP="00920AEF">
      <w:pPr>
        <w:numPr>
          <w:ilvl w:val="0"/>
          <w:numId w:val="3"/>
        </w:numPr>
      </w:pPr>
      <w:r>
        <w:t xml:space="preserve">Sophisticated </w:t>
      </w:r>
      <w:r>
        <w:t xml:space="preserve"> </w:t>
      </w:r>
      <w:r>
        <w:t xml:space="preserve">use of </w:t>
      </w:r>
      <w:r>
        <w:t>social media</w:t>
      </w:r>
      <w:r>
        <w:t xml:space="preserve">, including </w:t>
      </w:r>
      <w:hyperlink r:id="rId5" w:history="1">
        <w:r w:rsidR="00015CDB" w:rsidRPr="00EB5075">
          <w:rPr>
            <w:rStyle w:val="Hyperlink"/>
          </w:rPr>
          <w:t>Facebook</w:t>
        </w:r>
      </w:hyperlink>
      <w:r w:rsidR="00015CDB">
        <w:t xml:space="preserve"> and</w:t>
      </w:r>
      <w:r w:rsidR="00015CDB">
        <w:t xml:space="preserve"> </w:t>
      </w:r>
      <w:hyperlink r:id="rId6" w:history="1">
        <w:r w:rsidR="00015CDB" w:rsidRPr="00EB5075">
          <w:rPr>
            <w:rStyle w:val="Hyperlink"/>
          </w:rPr>
          <w:t>Twitter</w:t>
        </w:r>
      </w:hyperlink>
      <w:r w:rsidR="00015CDB">
        <w:t xml:space="preserve"> </w:t>
      </w:r>
      <w:r>
        <w:t>increase awareness of issues re</w:t>
      </w:r>
      <w:r w:rsidR="00015CDB">
        <w:t xml:space="preserve">garding </w:t>
      </w:r>
      <w:r w:rsidR="00015CDB">
        <w:t xml:space="preserve">women statisticians, and </w:t>
      </w:r>
      <w:r w:rsidR="00015CDB">
        <w:t xml:space="preserve">promote opportunities (research conferences, awards, etc.) </w:t>
      </w:r>
      <w:r>
        <w:t>for</w:t>
      </w:r>
      <w:r w:rsidR="00015CDB">
        <w:t xml:space="preserve"> women statisticians</w:t>
      </w:r>
    </w:p>
    <w:p w14:paraId="6598057C" w14:textId="6867BAD3" w:rsidR="00920AEF" w:rsidRDefault="00920AEF" w:rsidP="00920AEF">
      <w:pPr>
        <w:numPr>
          <w:ilvl w:val="0"/>
          <w:numId w:val="3"/>
        </w:numPr>
      </w:pPr>
      <w:r>
        <w:t xml:space="preserve">Sponsored and help organize </w:t>
      </w:r>
      <w:proofErr w:type="gramStart"/>
      <w:r>
        <w:t>the  Women</w:t>
      </w:r>
      <w:proofErr w:type="gramEnd"/>
      <w:r>
        <w:t xml:space="preserve"> in Statistics and Data Science </w:t>
      </w:r>
      <w:hyperlink r:id="rId7" w:history="1">
        <w:r w:rsidR="00015CDB" w:rsidRPr="00920AEF">
          <w:rPr>
            <w:rStyle w:val="Hyperlink"/>
          </w:rPr>
          <w:t>WSDS 2018</w:t>
        </w:r>
      </w:hyperlink>
      <w:r w:rsidR="00015CDB">
        <w:t xml:space="preserve"> </w:t>
      </w:r>
      <w:r>
        <w:t>(</w:t>
      </w:r>
      <w:r w:rsidR="00015CDB">
        <w:t>Cincinnati, OH Oct. 18-20</w:t>
      </w:r>
      <w:r>
        <w:t xml:space="preserve">).  Wrote an </w:t>
      </w:r>
      <w:hyperlink r:id="rId8" w:history="1">
        <w:proofErr w:type="spellStart"/>
        <w:r w:rsidRPr="00920AEF">
          <w:rPr>
            <w:rStyle w:val="Hyperlink"/>
          </w:rPr>
          <w:t>AmStat</w:t>
        </w:r>
        <w:proofErr w:type="spellEnd"/>
        <w:r w:rsidRPr="00920AEF">
          <w:rPr>
            <w:rStyle w:val="Hyperlink"/>
          </w:rPr>
          <w:t xml:space="preserve"> New</w:t>
        </w:r>
        <w:r>
          <w:rPr>
            <w:rStyle w:val="Hyperlink"/>
          </w:rPr>
          <w:t>s</w:t>
        </w:r>
        <w:r w:rsidRPr="00920AEF">
          <w:rPr>
            <w:rStyle w:val="Hyperlink"/>
          </w:rPr>
          <w:t xml:space="preserve"> </w:t>
        </w:r>
        <w:r>
          <w:rPr>
            <w:rStyle w:val="Hyperlink"/>
          </w:rPr>
          <w:t>cover</w:t>
        </w:r>
      </w:hyperlink>
      <w:r>
        <w:t xml:space="preserve"> story</w:t>
      </w:r>
    </w:p>
    <w:p w14:paraId="6EEEDA7B" w14:textId="77777777" w:rsidR="00920AEF" w:rsidRDefault="00920AEF" w:rsidP="00920AEF">
      <w:pPr>
        <w:numPr>
          <w:ilvl w:val="0"/>
          <w:numId w:val="3"/>
        </w:numPr>
      </w:pPr>
      <w:r>
        <w:t xml:space="preserve">Writing a </w:t>
      </w:r>
      <w:hyperlink r:id="rId9" w:history="1">
        <w:r w:rsidRPr="00920AEF">
          <w:rPr>
            <w:rStyle w:val="Hyperlink"/>
          </w:rPr>
          <w:t>c</w:t>
        </w:r>
        <w:r w:rsidR="00015CDB" w:rsidRPr="00920AEF">
          <w:rPr>
            <w:rStyle w:val="Hyperlink"/>
          </w:rPr>
          <w:t>hildren’s book on women statisticians</w:t>
        </w:r>
      </w:hyperlink>
    </w:p>
    <w:p w14:paraId="579190F7" w14:textId="77777777" w:rsidR="00920AEF" w:rsidRDefault="00920AEF" w:rsidP="00920AEF">
      <w:pPr>
        <w:numPr>
          <w:ilvl w:val="0"/>
          <w:numId w:val="3"/>
        </w:numPr>
      </w:pPr>
      <w:r>
        <w:t>Established a</w:t>
      </w:r>
      <w:r>
        <w:t xml:space="preserve"> new named lecture (Scott/David Lecture) in honor of Elizabeth L. Scott (1917 –1988) and F. N. David (1909</w:t>
      </w:r>
      <w:r>
        <w:t>–</w:t>
      </w:r>
      <w:r>
        <w:t>1993)</w:t>
      </w:r>
      <w:r w:rsidR="00015CDB">
        <w:t xml:space="preserve"> </w:t>
      </w:r>
      <w:r>
        <w:t xml:space="preserve">Proposed jointly with </w:t>
      </w:r>
      <w:proofErr w:type="spellStart"/>
      <w:r w:rsidR="00015CDB">
        <w:t>COPSS</w:t>
      </w:r>
      <w:proofErr w:type="spellEnd"/>
    </w:p>
    <w:p w14:paraId="4576EB8E" w14:textId="4D552C4E" w:rsidR="006B0981" w:rsidRDefault="00015CDB" w:rsidP="00920AEF">
      <w:pPr>
        <w:numPr>
          <w:ilvl w:val="0"/>
          <w:numId w:val="3"/>
        </w:numPr>
      </w:pPr>
      <w:r>
        <w:t>Participated in Gertrude Cox Scholarship selection</w:t>
      </w:r>
    </w:p>
    <w:p w14:paraId="7E378E35" w14:textId="77777777" w:rsidR="006B0981" w:rsidRDefault="00015CDB">
      <w:r>
        <w:t xml:space="preserve"> </w:t>
      </w:r>
    </w:p>
    <w:p w14:paraId="34578F79" w14:textId="181D0E3D" w:rsidR="006B0981" w:rsidRDefault="00015CDB">
      <w:pPr>
        <w:rPr>
          <w:b/>
        </w:rPr>
      </w:pPr>
      <w:r>
        <w:rPr>
          <w:b/>
        </w:rPr>
        <w:t>2019</w:t>
      </w:r>
      <w:r w:rsidR="00920AEF" w:rsidRPr="00920AEF">
        <w:rPr>
          <w:b/>
        </w:rPr>
        <w:t xml:space="preserve"> </w:t>
      </w:r>
      <w:r w:rsidR="00920AEF">
        <w:rPr>
          <w:b/>
        </w:rPr>
        <w:t>Activities</w:t>
      </w:r>
    </w:p>
    <w:p w14:paraId="1E27F77D" w14:textId="1C91D288" w:rsidR="006B0981" w:rsidRDefault="00920AEF" w:rsidP="003A33D1">
      <w:pPr>
        <w:pStyle w:val="ListParagraph"/>
        <w:numPr>
          <w:ilvl w:val="0"/>
          <w:numId w:val="10"/>
        </w:numPr>
        <w:ind w:left="360"/>
      </w:pPr>
      <w:r>
        <w:t>JSM</w:t>
      </w:r>
      <w:r w:rsidR="00015CDB">
        <w:t>:</w:t>
      </w:r>
    </w:p>
    <w:p w14:paraId="7E4E4AC7" w14:textId="1517BE59" w:rsidR="006B0981" w:rsidRDefault="00920AEF" w:rsidP="003A33D1">
      <w:pPr>
        <w:numPr>
          <w:ilvl w:val="1"/>
          <w:numId w:val="10"/>
        </w:numPr>
        <w:ind w:left="720"/>
      </w:pPr>
      <w:r w:rsidRPr="00920AEF">
        <w:t>Invited panel discussion on</w:t>
      </w:r>
      <w:r>
        <w:rPr>
          <w:b/>
        </w:rPr>
        <w:t xml:space="preserve"> </w:t>
      </w:r>
      <w:r w:rsidR="00015CDB">
        <w:rPr>
          <w:b/>
        </w:rPr>
        <w:t>Sexual Harassment &amp; Assault</w:t>
      </w:r>
      <w:r w:rsidR="00015CDB">
        <w:t xml:space="preserve"> </w:t>
      </w:r>
    </w:p>
    <w:p w14:paraId="671DAC0B" w14:textId="77777777" w:rsidR="00920AEF" w:rsidRDefault="00920AEF" w:rsidP="003A33D1">
      <w:pPr>
        <w:numPr>
          <w:ilvl w:val="1"/>
          <w:numId w:val="10"/>
        </w:numPr>
        <w:ind w:left="720"/>
      </w:pPr>
      <w:r w:rsidRPr="00920AEF">
        <w:t>Invited panel discussion on</w:t>
      </w:r>
      <w:r w:rsidRPr="00920AEF">
        <w:rPr>
          <w:b/>
        </w:rPr>
        <w:t xml:space="preserve"> </w:t>
      </w:r>
      <w:r w:rsidR="00015CDB" w:rsidRPr="00920AEF">
        <w:rPr>
          <w:b/>
        </w:rPr>
        <w:t>Changing the statistics community: effective strategies for promoting an inclusive and equitable culture for women</w:t>
      </w:r>
    </w:p>
    <w:p w14:paraId="4828B69C" w14:textId="77777777" w:rsidR="003A33D1" w:rsidRPr="003A33D1" w:rsidRDefault="003A33D1" w:rsidP="003A33D1">
      <w:pPr>
        <w:pStyle w:val="ListParagraph"/>
        <w:numPr>
          <w:ilvl w:val="0"/>
          <w:numId w:val="10"/>
        </w:numPr>
        <w:ind w:left="360"/>
      </w:pPr>
      <w:r>
        <w:t xml:space="preserve">Four committee members serve on the </w:t>
      </w:r>
      <w:r w:rsidR="00015CDB">
        <w:t xml:space="preserve">WSDS 2019 </w:t>
      </w:r>
      <w:r>
        <w:t>(</w:t>
      </w:r>
      <w:r w:rsidR="00015CDB">
        <w:t>Bellevue, WA Oct 3</w:t>
      </w:r>
      <w:r>
        <w:t>–</w:t>
      </w:r>
      <w:r w:rsidR="00015CDB">
        <w:t>5</w:t>
      </w:r>
      <w:r>
        <w:t xml:space="preserve">) Also organizing a </w:t>
      </w:r>
      <w:r>
        <w:t>plenary session</w:t>
      </w:r>
      <w:r>
        <w:t xml:space="preserve"> on </w:t>
      </w:r>
      <w:r w:rsidR="00015CDB" w:rsidRPr="003A33D1">
        <w:rPr>
          <w:b/>
        </w:rPr>
        <w:t>Changing the statistics community: effective strategies for promoting an inclusive and equitable culture for women</w:t>
      </w:r>
    </w:p>
    <w:p w14:paraId="3F92CF12" w14:textId="20552C20" w:rsidR="003A33D1" w:rsidRDefault="003A33D1" w:rsidP="003A33D1">
      <w:pPr>
        <w:pStyle w:val="ListParagraph"/>
        <w:numPr>
          <w:ilvl w:val="0"/>
          <w:numId w:val="6"/>
        </w:numPr>
        <w:ind w:left="360"/>
      </w:pPr>
      <w:r>
        <w:t xml:space="preserve">Contributing to the </w:t>
      </w:r>
      <w:r w:rsidR="00015CDB">
        <w:t xml:space="preserve">Women's History Month 2019 </w:t>
      </w:r>
      <w:r>
        <w:t xml:space="preserve">AmStat.Org women </w:t>
      </w:r>
      <w:proofErr w:type="spellStart"/>
      <w:r>
        <w:t>statisicians</w:t>
      </w:r>
      <w:proofErr w:type="spellEnd"/>
      <w:proofErr w:type="gramStart"/>
      <w:r>
        <w:t xml:space="preserve">’  </w:t>
      </w:r>
      <w:r w:rsidR="00015CDB">
        <w:t>feature</w:t>
      </w:r>
      <w:proofErr w:type="gramEnd"/>
      <w:r w:rsidR="00015CDB">
        <w:t xml:space="preserve"> </w:t>
      </w:r>
      <w:r>
        <w:t>and with</w:t>
      </w:r>
      <w:r w:rsidR="00015CDB">
        <w:t xml:space="preserve"> daily </w:t>
      </w:r>
      <w:r>
        <w:t>Facebook and Twitter</w:t>
      </w:r>
      <w:r w:rsidR="00015CDB">
        <w:t xml:space="preserve"> posts</w:t>
      </w:r>
    </w:p>
    <w:p w14:paraId="5435CD78" w14:textId="77777777" w:rsidR="003A33D1" w:rsidRDefault="003A33D1" w:rsidP="003A33D1">
      <w:pPr>
        <w:pStyle w:val="ListParagraph"/>
        <w:numPr>
          <w:ilvl w:val="0"/>
          <w:numId w:val="6"/>
        </w:numPr>
        <w:ind w:left="360"/>
      </w:pPr>
      <w:r>
        <w:t>More frequently</w:t>
      </w:r>
      <w:r w:rsidR="00015CDB">
        <w:t xml:space="preserve"> </w:t>
      </w:r>
      <w:r>
        <w:t>posting about</w:t>
      </w:r>
      <w:r w:rsidR="00015CDB">
        <w:t xml:space="preserve"> issues for women statisticians</w:t>
      </w:r>
    </w:p>
    <w:p w14:paraId="6E3E32FB" w14:textId="77777777" w:rsidR="003A33D1" w:rsidRDefault="00015CDB" w:rsidP="003A33D1">
      <w:pPr>
        <w:pStyle w:val="ListParagraph"/>
        <w:numPr>
          <w:ilvl w:val="0"/>
          <w:numId w:val="6"/>
        </w:numPr>
        <w:ind w:left="360"/>
      </w:pPr>
      <w:r>
        <w:t>Assist</w:t>
      </w:r>
      <w:r w:rsidR="003A33D1">
        <w:t>ing</w:t>
      </w:r>
      <w:r>
        <w:t xml:space="preserve"> in Gertrude Cox Scholarship selection</w:t>
      </w:r>
    </w:p>
    <w:p w14:paraId="7BC1B825" w14:textId="77777777" w:rsidR="003A33D1" w:rsidRDefault="003A33D1" w:rsidP="003A33D1">
      <w:pPr>
        <w:pStyle w:val="ListParagraph"/>
        <w:numPr>
          <w:ilvl w:val="0"/>
          <w:numId w:val="6"/>
        </w:numPr>
        <w:ind w:left="360"/>
      </w:pPr>
      <w:r>
        <w:t xml:space="preserve">Made a </w:t>
      </w:r>
      <w:r w:rsidR="00015CDB">
        <w:t>Founders Award Nomination submission (Joint with Caucus)</w:t>
      </w:r>
    </w:p>
    <w:p w14:paraId="28EE77C7" w14:textId="5E9D6F64" w:rsidR="003A33D1" w:rsidRDefault="00015CDB" w:rsidP="003A33D1">
      <w:pPr>
        <w:pStyle w:val="ListParagraph"/>
        <w:numPr>
          <w:ilvl w:val="0"/>
          <w:numId w:val="1"/>
        </w:numPr>
        <w:ind w:left="360"/>
      </w:pPr>
      <w:r>
        <w:t>W</w:t>
      </w:r>
      <w:r>
        <w:t xml:space="preserve">ork </w:t>
      </w:r>
      <w:r>
        <w:t xml:space="preserve">on children’s book on Women in Statistics for </w:t>
      </w:r>
      <w:r>
        <w:t>Fall 2019</w:t>
      </w:r>
      <w:r>
        <w:t xml:space="preserve">.  </w:t>
      </w:r>
      <w:r>
        <w:t xml:space="preserve">ASA will store </w:t>
      </w:r>
      <w:r>
        <w:t xml:space="preserve">pre-ordered </w:t>
      </w:r>
      <w:r>
        <w:t xml:space="preserve"> books that can be ordered online</w:t>
      </w:r>
      <w:bookmarkStart w:id="0" w:name="_GoBack"/>
      <w:bookmarkEnd w:id="0"/>
      <w:r>
        <w:t xml:space="preserve"> </w:t>
      </w:r>
    </w:p>
    <w:p w14:paraId="0014D1BC" w14:textId="39BEDA43" w:rsidR="003A33D1" w:rsidRDefault="003A33D1" w:rsidP="003A33D1">
      <w:pPr>
        <w:numPr>
          <w:ilvl w:val="0"/>
          <w:numId w:val="1"/>
        </w:numPr>
        <w:ind w:left="360"/>
      </w:pPr>
      <w:r>
        <w:t xml:space="preserve">Two new committee members became </w:t>
      </w:r>
      <w:r w:rsidR="00015CDB">
        <w:t>Diversity Worki</w:t>
      </w:r>
      <w:r w:rsidR="00015CDB">
        <w:t>ng Group</w:t>
      </w:r>
      <w:r>
        <w:t xml:space="preserve"> liaisons </w:t>
      </w:r>
    </w:p>
    <w:p w14:paraId="722E8C35" w14:textId="569FA654" w:rsidR="006B0981" w:rsidRDefault="003A33D1" w:rsidP="003A33D1">
      <w:pPr>
        <w:numPr>
          <w:ilvl w:val="0"/>
          <w:numId w:val="1"/>
        </w:numPr>
        <w:ind w:left="360"/>
      </w:pPr>
      <w:r>
        <w:t xml:space="preserve">Two </w:t>
      </w:r>
      <w:r>
        <w:t xml:space="preserve">other </w:t>
      </w:r>
      <w:r>
        <w:t xml:space="preserve">new committee members </w:t>
      </w:r>
      <w:r w:rsidR="00015CDB">
        <w:t xml:space="preserve">volunteered to help </w:t>
      </w:r>
      <w:r w:rsidR="00015CDB">
        <w:t>increas</w:t>
      </w:r>
      <w:r>
        <w:t>e</w:t>
      </w:r>
      <w:r w:rsidR="00015CDB">
        <w:t xml:space="preserve"> the profile of women statisticians on Wikipedia.</w:t>
      </w:r>
    </w:p>
    <w:p w14:paraId="7EC5BD45" w14:textId="77777777" w:rsidR="006B0981" w:rsidRDefault="006B0981"/>
    <w:p w14:paraId="02FAEF30" w14:textId="214AAD1F" w:rsidR="006B0981" w:rsidRPr="00DE24BE" w:rsidRDefault="00DE24BE">
      <w:pPr>
        <w:rPr>
          <w:b/>
        </w:rPr>
      </w:pPr>
      <w:r w:rsidRPr="00DE24BE">
        <w:rPr>
          <w:b/>
        </w:rPr>
        <w:t>Issues for the board</w:t>
      </w:r>
    </w:p>
    <w:p w14:paraId="7C1F6757" w14:textId="5E8BA70B" w:rsidR="006B0981" w:rsidRDefault="00DE24BE" w:rsidP="00DE24BE">
      <w:pPr>
        <w:numPr>
          <w:ilvl w:val="0"/>
          <w:numId w:val="5"/>
        </w:numPr>
      </w:pPr>
      <w:r>
        <w:t>Need strong</w:t>
      </w:r>
      <w:r w:rsidR="00015CDB">
        <w:t xml:space="preserve"> ASA </w:t>
      </w:r>
      <w:r>
        <w:t xml:space="preserve">leadership </w:t>
      </w:r>
      <w:r w:rsidR="00015CDB">
        <w:t xml:space="preserve">to educate members about positive ways to shift </w:t>
      </w:r>
      <w:proofErr w:type="gramStart"/>
      <w:r>
        <w:t xml:space="preserve">our </w:t>
      </w:r>
      <w:r w:rsidR="00015CDB">
        <w:t xml:space="preserve"> professional</w:t>
      </w:r>
      <w:proofErr w:type="gramEnd"/>
      <w:r w:rsidR="00015CDB">
        <w:t xml:space="preserve"> culture to be more inclusive. </w:t>
      </w:r>
      <w:r>
        <w:t xml:space="preserve">This could be done by way of </w:t>
      </w:r>
      <w:r w:rsidR="00015CDB">
        <w:t>JSM Plenar</w:t>
      </w:r>
      <w:r>
        <w:t xml:space="preserve">ies, </w:t>
      </w:r>
      <w:proofErr w:type="spellStart"/>
      <w:r w:rsidR="00015CDB">
        <w:lastRenderedPageBreak/>
        <w:t>Am</w:t>
      </w:r>
      <w:r>
        <w:t>S</w:t>
      </w:r>
      <w:r w:rsidR="00015CDB">
        <w:t>tat</w:t>
      </w:r>
      <w:proofErr w:type="spellEnd"/>
      <w:r w:rsidR="00015CDB">
        <w:t xml:space="preserve"> News features</w:t>
      </w:r>
      <w:r w:rsidR="00015CDB">
        <w:t xml:space="preserve"> specific</w:t>
      </w:r>
      <w:r w:rsidR="00015CDB">
        <w:t xml:space="preserve"> </w:t>
      </w:r>
      <w:r>
        <w:t>to</w:t>
      </w:r>
      <w:r w:rsidR="00015CDB">
        <w:t xml:space="preserve"> culture </w:t>
      </w:r>
      <w:r>
        <w:t xml:space="preserve">change, a </w:t>
      </w:r>
      <w:proofErr w:type="spellStart"/>
      <w:r w:rsidR="00015CDB">
        <w:t>SafeStatistics</w:t>
      </w:r>
      <w:proofErr w:type="spellEnd"/>
      <w:r w:rsidR="00015CDB">
        <w:t xml:space="preserve"> (or similar) campaign</w:t>
      </w:r>
      <w:r>
        <w:t xml:space="preserve">, a </w:t>
      </w:r>
      <w:r w:rsidR="00015CDB">
        <w:t>video and pamphlet for distribution at ASA conferences</w:t>
      </w:r>
      <w:r>
        <w:t>, a</w:t>
      </w:r>
      <w:r w:rsidR="00015CDB">
        <w:t>lly or peer training for students</w:t>
      </w:r>
      <w:r>
        <w:t>, and a p</w:t>
      </w:r>
      <w:r w:rsidR="00015CDB">
        <w:t>amphlet for</w:t>
      </w:r>
      <w:r w:rsidR="00015CDB">
        <w:t xml:space="preserve"> high</w:t>
      </w:r>
      <w:r>
        <w:t xml:space="preserve"> </w:t>
      </w:r>
      <w:r w:rsidR="00015CDB">
        <w:t>school students</w:t>
      </w:r>
    </w:p>
    <w:p w14:paraId="2E942930" w14:textId="3030233D" w:rsidR="00015CDB" w:rsidRDefault="00015CDB" w:rsidP="00015CDB">
      <w:pPr>
        <w:numPr>
          <w:ilvl w:val="0"/>
          <w:numId w:val="5"/>
        </w:numPr>
      </w:pPr>
      <w:r>
        <w:t xml:space="preserve">Is there an official ASA </w:t>
      </w:r>
      <w:r>
        <w:t>c</w:t>
      </w:r>
      <w:r>
        <w:t>hildcare</w:t>
      </w:r>
      <w:r>
        <w:t xml:space="preserve"> </w:t>
      </w:r>
      <w:r>
        <w:t>policy or procedure</w:t>
      </w:r>
      <w:r>
        <w:t xml:space="preserve"> for conferences, including children under six months</w:t>
      </w:r>
      <w:r>
        <w:t>?</w:t>
      </w:r>
    </w:p>
    <w:p w14:paraId="3063E541" w14:textId="09F8E04C" w:rsidR="006B0981" w:rsidRDefault="00DE24BE" w:rsidP="00DE24BE">
      <w:pPr>
        <w:numPr>
          <w:ilvl w:val="0"/>
          <w:numId w:val="5"/>
        </w:numPr>
      </w:pPr>
      <w:r>
        <w:t xml:space="preserve">Would like award committees to start or continue to report on </w:t>
      </w:r>
      <w:r w:rsidR="00015CDB">
        <w:t>gender balance of prominent award</w:t>
      </w:r>
      <w:r>
        <w:t xml:space="preserve"> nominations and actual awards.  Reporting will make the ASA aware of any possible gender bias or the need to</w:t>
      </w:r>
      <w:r w:rsidR="00015CDB">
        <w:t xml:space="preserve"> encourag</w:t>
      </w:r>
      <w:r>
        <w:t>e</w:t>
      </w:r>
      <w:r w:rsidR="00015CDB">
        <w:t xml:space="preserve"> the nomination</w:t>
      </w:r>
      <w:r>
        <w:t>s</w:t>
      </w:r>
      <w:r w:rsidR="00015CDB">
        <w:t xml:space="preserve"> of women</w:t>
      </w:r>
      <w:r>
        <w:t xml:space="preserve">.  COWIS would like access to these statistics and </w:t>
      </w:r>
      <w:r w:rsidR="00015CDB">
        <w:t xml:space="preserve">permission to report on them.  </w:t>
      </w:r>
      <w:r>
        <w:t>See 2015 example</w:t>
      </w:r>
    </w:p>
    <w:tbl>
      <w:tblPr>
        <w:tblStyle w:val="a"/>
        <w:tblW w:w="936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91"/>
        <w:gridCol w:w="1179"/>
        <w:gridCol w:w="1193"/>
        <w:gridCol w:w="1027"/>
        <w:gridCol w:w="999"/>
        <w:gridCol w:w="1027"/>
        <w:gridCol w:w="944"/>
      </w:tblGrid>
      <w:tr w:rsidR="006B0981" w14:paraId="40257001" w14:textId="77777777">
        <w:trPr>
          <w:trHeight w:val="620"/>
        </w:trPr>
        <w:tc>
          <w:tcPr>
            <w:tcW w:w="2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ECC34" w14:textId="77777777" w:rsidR="006B0981" w:rsidRDefault="00015C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</w:t>
            </w:r>
          </w:p>
        </w:tc>
        <w:tc>
          <w:tcPr>
            <w:tcW w:w="339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C9558" w14:textId="77777777" w:rsidR="006B0981" w:rsidRDefault="00015CDB">
            <w:pPr>
              <w:spacing w:line="288" w:lineRule="auto"/>
              <w:ind w:left="1100" w:right="9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1996-2005</w:t>
            </w:r>
          </w:p>
        </w:tc>
        <w:tc>
          <w:tcPr>
            <w:tcW w:w="297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A427C" w14:textId="77777777" w:rsidR="006B0981" w:rsidRDefault="00015CDB">
            <w:pPr>
              <w:spacing w:line="288" w:lineRule="auto"/>
              <w:ind w:left="92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2006-2015</w:t>
            </w:r>
          </w:p>
        </w:tc>
      </w:tr>
      <w:tr w:rsidR="006B0981" w14:paraId="5B166159" w14:textId="77777777">
        <w:trPr>
          <w:trHeight w:val="50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6B1D9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C9B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634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312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%W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4772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B6EFA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women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D50E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%W</w:t>
            </w:r>
          </w:p>
        </w:tc>
      </w:tr>
      <w:tr w:rsidR="006B0981" w14:paraId="6F619A53" w14:textId="77777777">
        <w:trPr>
          <w:trHeight w:val="48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7797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Deming Lecturer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590AE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3F39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249A4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013E9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8AAB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AC703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6B0981" w14:paraId="78233AD0" w14:textId="77777777">
        <w:trPr>
          <w:trHeight w:val="40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52FF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Founders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EC96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0E97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9D99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D61C0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BF22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395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45%</w:t>
            </w:r>
          </w:p>
        </w:tc>
      </w:tr>
      <w:tr w:rsidR="006B0981" w14:paraId="77E70B26" w14:textId="77777777">
        <w:trPr>
          <w:trHeight w:val="44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426D5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Gottfried E. </w:t>
            </w:r>
            <w:proofErr w:type="spellStart"/>
            <w:r>
              <w:rPr>
                <w:sz w:val="18"/>
                <w:szCs w:val="18"/>
              </w:rPr>
              <w:t>Noether</w:t>
            </w:r>
            <w:r>
              <w:rPr>
                <w:sz w:val="18"/>
                <w:szCs w:val="18"/>
                <w:vertAlign w:val="superscript"/>
              </w:rPr>
              <w:t>a</w:t>
            </w:r>
            <w:proofErr w:type="spellEnd"/>
            <w:r>
              <w:rPr>
                <w:sz w:val="18"/>
                <w:szCs w:val="18"/>
                <w:vertAlign w:val="superscript"/>
              </w:rPr>
              <w:t xml:space="preserve"> </w:t>
            </w:r>
            <w:r>
              <w:rPr>
                <w:sz w:val="18"/>
                <w:szCs w:val="18"/>
              </w:rPr>
              <w:t>(junior)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2C187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70D2B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FC25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5E2E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41A8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9BB6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33%</w:t>
            </w:r>
          </w:p>
        </w:tc>
      </w:tr>
      <w:tr w:rsidR="006B0981" w14:paraId="78D0B68B" w14:textId="77777777">
        <w:trPr>
          <w:trHeight w:val="36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39B80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Gottfried E. </w:t>
            </w:r>
            <w:proofErr w:type="spellStart"/>
            <w:r>
              <w:rPr>
                <w:sz w:val="18"/>
                <w:szCs w:val="18"/>
              </w:rPr>
              <w:t>Noether</w:t>
            </w:r>
            <w:proofErr w:type="spellEnd"/>
            <w:r>
              <w:rPr>
                <w:sz w:val="18"/>
                <w:szCs w:val="18"/>
                <w:vertAlign w:val="superscript"/>
              </w:rPr>
              <w:t xml:space="preserve"> b</w:t>
            </w:r>
            <w:r>
              <w:rPr>
                <w:sz w:val="18"/>
                <w:szCs w:val="18"/>
              </w:rPr>
              <w:t>(senior)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7084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64AE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43651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49652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799EA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85C7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9%</w:t>
            </w:r>
          </w:p>
        </w:tc>
      </w:tr>
      <w:tr w:rsidR="006B0981" w14:paraId="21CB0805" w14:textId="77777777">
        <w:trPr>
          <w:trHeight w:val="68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7E6DB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Outstanding Statistical</w:t>
            </w:r>
          </w:p>
          <w:p w14:paraId="36606335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C7A4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99AD2" w14:textId="77777777" w:rsidR="006B0981" w:rsidRDefault="00015CDB">
            <w:pPr>
              <w:spacing w:line="288" w:lineRule="auto"/>
              <w:ind w:left="1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545A0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CF513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AD9A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A9C4D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17%</w:t>
            </w:r>
          </w:p>
        </w:tc>
      </w:tr>
      <w:tr w:rsidR="006B0981" w14:paraId="4DACBB35" w14:textId="77777777">
        <w:trPr>
          <w:trHeight w:val="44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F7DB0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President’s Award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5828E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E7594" w14:textId="77777777" w:rsidR="006B0981" w:rsidRDefault="00015CDB">
            <w:pPr>
              <w:spacing w:line="288" w:lineRule="auto"/>
              <w:ind w:left="1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16923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B2A4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837E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B698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6B0981" w14:paraId="096687FE" w14:textId="77777777">
        <w:trPr>
          <w:trHeight w:val="48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C58E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R.A. Fisher Lectureship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5DF9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236F" w14:textId="77777777" w:rsidR="006B0981" w:rsidRDefault="00015CDB">
            <w:pPr>
              <w:spacing w:line="288" w:lineRule="auto"/>
              <w:ind w:left="1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494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39DED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805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4B2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6B0981" w14:paraId="2567C94F" w14:textId="77777777">
        <w:trPr>
          <w:trHeight w:val="42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BC6CF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Samuel S. Wilks Memorial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6BB21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5C936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50FD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E2C56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7A8AD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EA8A0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10%</w:t>
            </w:r>
          </w:p>
        </w:tc>
      </w:tr>
      <w:tr w:rsidR="006B0981" w14:paraId="21D65857" w14:textId="77777777">
        <w:trPr>
          <w:trHeight w:val="48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2B012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Snedecor</w:t>
            </w:r>
            <w:proofErr w:type="spellEnd"/>
            <w:r>
              <w:rPr>
                <w:sz w:val="18"/>
                <w:szCs w:val="18"/>
              </w:rPr>
              <w:t xml:space="preserve"> Award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6A40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DC63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B87F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7A06E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24997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E1773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20%</w:t>
            </w:r>
          </w:p>
        </w:tc>
      </w:tr>
      <w:tr w:rsidR="006B0981" w14:paraId="1848114C" w14:textId="77777777">
        <w:trPr>
          <w:trHeight w:val="72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7D8F9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Statistics in Physical Engineering Sciences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9A5B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5CFE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53E22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9198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735A1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514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16%</w:t>
            </w:r>
          </w:p>
        </w:tc>
      </w:tr>
      <w:tr w:rsidR="006B0981" w14:paraId="240A3B17" w14:textId="77777777">
        <w:trPr>
          <w:trHeight w:val="70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C57CB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W.J. Dixon for Excellence in</w:t>
            </w:r>
          </w:p>
          <w:p w14:paraId="7D50CFA6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Statistical Consulting</w:t>
            </w:r>
            <w:r>
              <w:rPr>
                <w:sz w:val="18"/>
                <w:szCs w:val="18"/>
                <w:vertAlign w:val="superscript"/>
              </w:rPr>
              <w:t xml:space="preserve"> c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B0965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4255C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00B5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9E1C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6F70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F33FD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14%</w:t>
            </w:r>
          </w:p>
        </w:tc>
      </w:tr>
      <w:tr w:rsidR="006B0981" w14:paraId="33E2E402" w14:textId="77777777">
        <w:trPr>
          <w:trHeight w:val="60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9B474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W.J. Youden on Interlaboratory</w:t>
            </w:r>
          </w:p>
          <w:p w14:paraId="38DC8A7A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Testing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936F8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EC153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B897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53487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D15E1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35BA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28%</w:t>
            </w:r>
          </w:p>
        </w:tc>
      </w:tr>
      <w:tr w:rsidR="006B0981" w14:paraId="5C787000" w14:textId="77777777">
        <w:trPr>
          <w:trHeight w:val="580"/>
        </w:trPr>
        <w:tc>
          <w:tcPr>
            <w:tcW w:w="2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1E67D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Waller Education Award</w:t>
            </w:r>
            <w:r>
              <w:rPr>
                <w:sz w:val="18"/>
                <w:szCs w:val="18"/>
                <w:vertAlign w:val="superscript"/>
              </w:rPr>
              <w:t xml:space="preserve"> d</w:t>
            </w:r>
          </w:p>
          <w:p w14:paraId="3B040102" w14:textId="77777777" w:rsidR="006B0981" w:rsidRDefault="00015CDB">
            <w:pPr>
              <w:spacing w:line="288" w:lineRule="auto"/>
              <w:ind w:left="20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7B07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7217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0BF2F" w14:textId="77777777" w:rsidR="006B0981" w:rsidRDefault="00015CDB">
            <w:pPr>
              <w:spacing w:line="288" w:lineRule="auto"/>
              <w:ind w:left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35E65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906E3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9DCCC" w14:textId="77777777" w:rsidR="006B0981" w:rsidRDefault="00015CDB">
            <w:pPr>
              <w:spacing w:line="288" w:lineRule="auto"/>
              <w:ind w:left="200" w:right="-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50%</w:t>
            </w:r>
          </w:p>
        </w:tc>
      </w:tr>
    </w:tbl>
    <w:p w14:paraId="136D98E7" w14:textId="77777777" w:rsidR="006B0981" w:rsidRDefault="006B0981">
      <w:pPr>
        <w:ind w:left="1440"/>
      </w:pPr>
    </w:p>
    <w:p w14:paraId="46F7D106" w14:textId="77777777" w:rsidR="006B0981" w:rsidRDefault="006B0981"/>
    <w:sectPr w:rsidR="006B098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05920"/>
    <w:multiLevelType w:val="multilevel"/>
    <w:tmpl w:val="B90C9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B41CA2"/>
    <w:multiLevelType w:val="multilevel"/>
    <w:tmpl w:val="A9DABA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F874D7E"/>
    <w:multiLevelType w:val="multilevel"/>
    <w:tmpl w:val="2DD6EB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1E07E8F"/>
    <w:multiLevelType w:val="multilevel"/>
    <w:tmpl w:val="0DEA3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3E20A19"/>
    <w:multiLevelType w:val="multilevel"/>
    <w:tmpl w:val="3DF8C3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2AF4319"/>
    <w:multiLevelType w:val="multilevel"/>
    <w:tmpl w:val="A9DABA1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972F8F"/>
    <w:multiLevelType w:val="multilevel"/>
    <w:tmpl w:val="64CEB2BC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7" w15:restartNumberingAfterBreak="0">
    <w:nsid w:val="62453E03"/>
    <w:multiLevelType w:val="multilevel"/>
    <w:tmpl w:val="82AC8862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8" w15:restartNumberingAfterBreak="0">
    <w:nsid w:val="67B966EC"/>
    <w:multiLevelType w:val="multilevel"/>
    <w:tmpl w:val="73DAD2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C33460"/>
    <w:multiLevelType w:val="multilevel"/>
    <w:tmpl w:val="E40C5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0981"/>
    <w:rsid w:val="00015CDB"/>
    <w:rsid w:val="003A33D1"/>
    <w:rsid w:val="006B0981"/>
    <w:rsid w:val="00920AEF"/>
    <w:rsid w:val="009836FB"/>
    <w:rsid w:val="00DE24BE"/>
    <w:rsid w:val="00E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64954"/>
  <w15:docId w15:val="{FD48AE98-2E6D-48BC-BB90-328440D6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EB50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50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0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675;%09http:/magazine.amstat.org/wp-content/uploads/2018/11/AMSTATNEWS_DECEMBER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&#9679;%09http:/www.amstat.org/meetings/wsds/2018/index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WomenInStat" TargetMode="External"/><Relationship Id="rId11" Type="http://schemas.openxmlformats.org/officeDocument/2006/relationships/theme" Target="theme/theme1.xml"/><Relationship Id="rId5" Type="http://schemas.openxmlformats.org/officeDocument/2006/relationships/hyperlink" Target="&#9675;%09https:/www.facebook.com/WomenInStatistic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witter.com/stephaniehicks/status/1107831738611449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Otto</cp:lastModifiedBy>
  <cp:revision>2</cp:revision>
  <dcterms:created xsi:type="dcterms:W3CDTF">2019-03-27T23:29:00Z</dcterms:created>
  <dcterms:modified xsi:type="dcterms:W3CDTF">2019-03-28T00:27:00Z</dcterms:modified>
</cp:coreProperties>
</file>