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B0" w:rsidRPr="00F32CF4" w:rsidRDefault="00623236" w:rsidP="00623236">
      <w:pPr>
        <w:pStyle w:val="Title"/>
        <w:tabs>
          <w:tab w:val="center" w:pos="4680"/>
          <w:tab w:val="right" w:pos="9360"/>
        </w:tabs>
        <w:jc w:val="left"/>
        <w:rPr>
          <w:sz w:val="22"/>
          <w:szCs w:val="22"/>
        </w:rPr>
      </w:pPr>
      <w:bookmarkStart w:id="0" w:name="_GoBack"/>
      <w:bookmarkEnd w:id="0"/>
      <w:r w:rsidRPr="00F32CF4">
        <w:rPr>
          <w:sz w:val="22"/>
          <w:szCs w:val="22"/>
        </w:rPr>
        <w:tab/>
      </w:r>
      <w:r w:rsidR="00896B05">
        <w:rPr>
          <w:sz w:val="22"/>
          <w:szCs w:val="22"/>
        </w:rPr>
        <w:t>Update from the Chair of the Statistical Education Section</w:t>
      </w:r>
      <w:r w:rsidRPr="00F32CF4">
        <w:rPr>
          <w:sz w:val="22"/>
          <w:szCs w:val="22"/>
        </w:rPr>
        <w:tab/>
      </w:r>
    </w:p>
    <w:p w:rsidR="00F54CB0" w:rsidRPr="00F32CF4" w:rsidRDefault="00BB3DD8">
      <w:pPr>
        <w:pStyle w:val="Title"/>
        <w:rPr>
          <w:sz w:val="22"/>
          <w:szCs w:val="22"/>
        </w:rPr>
      </w:pPr>
      <w:r>
        <w:rPr>
          <w:sz w:val="22"/>
          <w:szCs w:val="22"/>
        </w:rPr>
        <w:t>January 2018</w:t>
      </w:r>
    </w:p>
    <w:p w:rsidR="005B0175" w:rsidRDefault="005B0175" w:rsidP="00630FBA">
      <w:pPr>
        <w:pStyle w:val="BodyText2"/>
        <w:rPr>
          <w:rFonts w:eastAsia="Times New Roman"/>
          <w:szCs w:val="22"/>
        </w:rPr>
      </w:pPr>
    </w:p>
    <w:p w:rsidR="00F004AD" w:rsidRDefault="00F004AD" w:rsidP="00630FBA">
      <w:pPr>
        <w:pStyle w:val="BodyText2"/>
        <w:rPr>
          <w:rFonts w:eastAsia="Times New Roman"/>
          <w:szCs w:val="22"/>
        </w:rPr>
      </w:pPr>
    </w:p>
    <w:p w:rsidR="00BB3DD8" w:rsidRDefault="00896B05" w:rsidP="00630FBA">
      <w:pPr>
        <w:pStyle w:val="BodyText2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Welcome to a new year in the Section on Statistical Education. </w:t>
      </w:r>
      <w:r w:rsidR="00BB3DD8">
        <w:rPr>
          <w:rFonts w:eastAsia="Times New Roman"/>
          <w:szCs w:val="22"/>
        </w:rPr>
        <w:t>It’s hard for me to believe we are already half way through the first month of 2018!</w:t>
      </w:r>
      <w:r w:rsidR="000F3875">
        <w:rPr>
          <w:rFonts w:eastAsia="Times New Roman"/>
          <w:szCs w:val="22"/>
        </w:rPr>
        <w:t xml:space="preserve">  Welcome to our new executive committee members and a huge thank you to our retiring members.  </w:t>
      </w:r>
    </w:p>
    <w:p w:rsidR="00BB3DD8" w:rsidRDefault="00BB3DD8" w:rsidP="00630FBA">
      <w:pPr>
        <w:pStyle w:val="BodyText2"/>
        <w:rPr>
          <w:rFonts w:eastAsia="Times New Roman"/>
          <w:szCs w:val="22"/>
        </w:rPr>
      </w:pPr>
    </w:p>
    <w:p w:rsidR="00BB3DD8" w:rsidRDefault="00BB3DD8" w:rsidP="00630FBA">
      <w:pPr>
        <w:pStyle w:val="BodyText2"/>
        <w:rPr>
          <w:rFonts w:eastAsia="Times New Roman"/>
          <w:szCs w:val="22"/>
        </w:rPr>
      </w:pPr>
      <w:r>
        <w:rPr>
          <w:rFonts w:eastAsia="Times New Roman"/>
          <w:szCs w:val="22"/>
        </w:rPr>
        <w:t>This looks like an exciting year for the section as we celebrate our 70</w:t>
      </w:r>
      <w:r w:rsidRPr="00BB3DD8">
        <w:rPr>
          <w:rFonts w:eastAsia="Times New Roman"/>
          <w:szCs w:val="22"/>
          <w:vertAlign w:val="superscript"/>
        </w:rPr>
        <w:t>th</w:t>
      </w:r>
      <w:r>
        <w:rPr>
          <w:rFonts w:eastAsia="Times New Roman"/>
          <w:szCs w:val="22"/>
        </w:rPr>
        <w:t xml:space="preserve"> anniversary.  Below are just a few of the initiatives underway this year and I hope you will share even more ideas for celebrating this section milestone!</w:t>
      </w:r>
    </w:p>
    <w:p w:rsidR="00BB3DD8" w:rsidRDefault="00BB3DD8" w:rsidP="00630FBA">
      <w:pPr>
        <w:pStyle w:val="BodyText2"/>
        <w:rPr>
          <w:rFonts w:eastAsia="Times New Roman"/>
          <w:szCs w:val="22"/>
        </w:rPr>
      </w:pPr>
    </w:p>
    <w:p w:rsidR="00BB3DD8" w:rsidRDefault="00BB3DD8" w:rsidP="00BB3DD8">
      <w:pPr>
        <w:pStyle w:val="BodyText2"/>
        <w:numPr>
          <w:ilvl w:val="0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Expanding our outreach through social media</w:t>
      </w:r>
    </w:p>
    <w:p w:rsidR="00BB3DD8" w:rsidRDefault="00BB3DD8" w:rsidP="00BB3DD8">
      <w:pPr>
        <w:pStyle w:val="BodyText2"/>
        <w:numPr>
          <w:ilvl w:val="1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Be sure to watch for blog posts throughout the year as well as our regular newsletter</w:t>
      </w:r>
    </w:p>
    <w:p w:rsidR="00E70EA1" w:rsidRDefault="00E70EA1" w:rsidP="00BB3DD8">
      <w:pPr>
        <w:pStyle w:val="BodyText2"/>
        <w:numPr>
          <w:ilvl w:val="0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Continuation and expansion of the section mentoring program</w:t>
      </w:r>
    </w:p>
    <w:p w:rsidR="00E70EA1" w:rsidRDefault="00CA21F0" w:rsidP="00E70EA1">
      <w:pPr>
        <w:pStyle w:val="BodyText2"/>
        <w:numPr>
          <w:ilvl w:val="1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A rolling application window for mentees </w:t>
      </w:r>
      <w:r>
        <w:rPr>
          <w:rFonts w:eastAsia="Times New Roman"/>
          <w:szCs w:val="22"/>
          <w:u w:val="single"/>
        </w:rPr>
        <w:t>and</w:t>
      </w:r>
      <w:r w:rsidRPr="00CA21F0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mentors will start March 15, with guaranteed consideration to submissions received April 30.</w:t>
      </w:r>
    </w:p>
    <w:p w:rsidR="00BB3DD8" w:rsidRDefault="00BB3DD8" w:rsidP="00BB3DD8">
      <w:pPr>
        <w:pStyle w:val="BodyText2"/>
        <w:numPr>
          <w:ilvl w:val="0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Data Science joint committees</w:t>
      </w:r>
    </w:p>
    <w:p w:rsidR="00BB3DD8" w:rsidRDefault="00BB3DD8" w:rsidP="00E70EA1">
      <w:pPr>
        <w:pStyle w:val="BodyText2"/>
        <w:numPr>
          <w:ilvl w:val="1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National Academies </w:t>
      </w:r>
      <w:r w:rsidR="00E70EA1">
        <w:rPr>
          <w:rFonts w:eastAsia="Times New Roman"/>
          <w:szCs w:val="22"/>
        </w:rPr>
        <w:t xml:space="preserve">have released their interim </w:t>
      </w:r>
      <w:r>
        <w:rPr>
          <w:rFonts w:eastAsia="Times New Roman"/>
          <w:szCs w:val="22"/>
        </w:rPr>
        <w:t xml:space="preserve">report on Envisioning Undergraduate Data Science Education </w:t>
      </w:r>
      <w:r w:rsidR="00E70EA1">
        <w:rPr>
          <w:rFonts w:eastAsia="Times New Roman"/>
          <w:szCs w:val="22"/>
        </w:rPr>
        <w:t>and is continuing their webinar series (</w:t>
      </w:r>
      <w:hyperlink r:id="rId7" w:history="1">
        <w:r w:rsidR="00E70EA1" w:rsidRPr="00E909ED">
          <w:rPr>
            <w:rStyle w:val="Hyperlink"/>
            <w:rFonts w:eastAsia="Times New Roman"/>
            <w:szCs w:val="22"/>
          </w:rPr>
          <w:t>http://sites.nationalacademies.org/cstb/currentprojects/cstb_175246</w:t>
        </w:r>
      </w:hyperlink>
      <w:r w:rsidR="00E70EA1">
        <w:rPr>
          <w:rFonts w:eastAsia="Times New Roman"/>
          <w:szCs w:val="22"/>
        </w:rPr>
        <w:t>)</w:t>
      </w:r>
    </w:p>
    <w:p w:rsidR="00BB3DD8" w:rsidRDefault="00BB3DD8" w:rsidP="00BB3DD8">
      <w:pPr>
        <w:pStyle w:val="BodyText2"/>
        <w:numPr>
          <w:ilvl w:val="0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A new format for JSM roundtables for the section</w:t>
      </w:r>
    </w:p>
    <w:p w:rsidR="00BB3DD8" w:rsidRDefault="00BB3DD8" w:rsidP="00BB3DD8">
      <w:pPr>
        <w:pStyle w:val="BodyText2"/>
        <w:numPr>
          <w:ilvl w:val="1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Program chairs Kelly McConville (2018) and Stacey Hancock (2019) have volunteered to organize “no cost” discussion groups for the 2018 JSM.</w:t>
      </w:r>
    </w:p>
    <w:p w:rsidR="00BB3DD8" w:rsidRDefault="00BB3DD8" w:rsidP="00BB3DD8">
      <w:pPr>
        <w:pStyle w:val="BodyText2"/>
        <w:numPr>
          <w:ilvl w:val="0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Exploring training programs for graduate students interested in teaching</w:t>
      </w:r>
    </w:p>
    <w:p w:rsidR="00E70EA1" w:rsidRDefault="00E70EA1" w:rsidP="00E70EA1">
      <w:pPr>
        <w:pStyle w:val="BodyText2"/>
        <w:numPr>
          <w:ilvl w:val="1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Iowa State</w:t>
      </w:r>
      <w:r w:rsidR="007428E9">
        <w:rPr>
          <w:rFonts w:eastAsia="Times New Roman"/>
          <w:szCs w:val="22"/>
        </w:rPr>
        <w:t>, as part of the CIRTL,</w:t>
      </w:r>
      <w:r>
        <w:rPr>
          <w:rFonts w:eastAsia="Times New Roman"/>
          <w:szCs w:val="22"/>
        </w:rPr>
        <w:t xml:space="preserve"> is leading an effort to provide pedagogy training for graduate students and postdocs who become educators. The section is looking for ideas to join these efforts, perhaps following a Project NExT type model for statisticians. Also check out the new StatPREP workshops starting this summer (</w:t>
      </w:r>
      <w:hyperlink r:id="rId8" w:history="1">
        <w:r w:rsidRPr="00E909ED">
          <w:rPr>
            <w:rStyle w:val="Hyperlink"/>
            <w:rFonts w:eastAsia="Times New Roman"/>
            <w:szCs w:val="22"/>
          </w:rPr>
          <w:t>https://www.maa.org/programs-and-communities/professional-development/stat-prep</w:t>
        </w:r>
      </w:hyperlink>
      <w:r>
        <w:rPr>
          <w:rFonts w:eastAsia="Times New Roman"/>
          <w:szCs w:val="22"/>
        </w:rPr>
        <w:t>)</w:t>
      </w:r>
    </w:p>
    <w:p w:rsidR="000F3875" w:rsidRDefault="000F3875" w:rsidP="000F3875">
      <w:pPr>
        <w:pStyle w:val="BodyText2"/>
        <w:numPr>
          <w:ilvl w:val="0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Be sure to put the upcoming eCOTS (May 21-25) on your calendar (</w:t>
      </w:r>
      <w:hyperlink r:id="rId9" w:history="1">
        <w:r w:rsidRPr="00E909ED">
          <w:rPr>
            <w:rStyle w:val="Hyperlink"/>
            <w:rFonts w:eastAsia="Times New Roman"/>
            <w:szCs w:val="22"/>
          </w:rPr>
          <w:t>https://www.causeweb.org/cause/ecots/ecots18</w:t>
        </w:r>
      </w:hyperlink>
      <w:r>
        <w:rPr>
          <w:rFonts w:eastAsia="Times New Roman"/>
          <w:szCs w:val="22"/>
        </w:rPr>
        <w:t xml:space="preserve">). </w:t>
      </w:r>
    </w:p>
    <w:p w:rsidR="000F3875" w:rsidRPr="000F3875" w:rsidRDefault="000F3875" w:rsidP="000F3875">
      <w:pPr>
        <w:pStyle w:val="BodyText2"/>
        <w:numPr>
          <w:ilvl w:val="1"/>
          <w:numId w:val="4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Proposal submissions are due March 1.</w:t>
      </w:r>
    </w:p>
    <w:p w:rsidR="000F3875" w:rsidRDefault="000F3875" w:rsidP="000F3875">
      <w:pPr>
        <w:pStyle w:val="BodyText2"/>
        <w:rPr>
          <w:rFonts w:eastAsia="Times New Roman"/>
          <w:szCs w:val="22"/>
        </w:rPr>
      </w:pPr>
    </w:p>
    <w:p w:rsidR="00BB3DD8" w:rsidRDefault="000F3875" w:rsidP="000F3875">
      <w:pPr>
        <w:pStyle w:val="BodyText2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Please consider becoming involved in these efforts and others.  Our section is very interested in supporting member initiatives, including with money!  Please consider submitting a proposal to the executive committee this year. </w:t>
      </w:r>
      <w:hyperlink r:id="rId10" w:history="1">
        <w:r w:rsidR="007428E9" w:rsidRPr="00E909ED">
          <w:rPr>
            <w:rStyle w:val="Hyperlink"/>
            <w:rFonts w:eastAsia="Times New Roman"/>
            <w:szCs w:val="22"/>
          </w:rPr>
          <w:t>http://community.amstat.org/statisticaleducationsection/aboutus/officers</w:t>
        </w:r>
      </w:hyperlink>
      <w:r w:rsidR="007428E9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Below I have a reminder of our section’s mission.</w:t>
      </w:r>
    </w:p>
    <w:p w:rsidR="000F3875" w:rsidRDefault="000F3875" w:rsidP="000F3875">
      <w:pPr>
        <w:pStyle w:val="BodyText2"/>
        <w:rPr>
          <w:rFonts w:eastAsia="Times New Roman"/>
          <w:szCs w:val="22"/>
        </w:rPr>
      </w:pPr>
    </w:p>
    <w:p w:rsidR="000F3875" w:rsidRDefault="000F3875" w:rsidP="000F3875">
      <w:pPr>
        <w:pStyle w:val="BodyText2"/>
        <w:rPr>
          <w:rFonts w:eastAsia="Times New Roman"/>
          <w:szCs w:val="22"/>
        </w:rPr>
      </w:pPr>
      <w:r>
        <w:rPr>
          <w:rFonts w:eastAsia="Times New Roman"/>
          <w:szCs w:val="22"/>
        </w:rPr>
        <w:t>Thanks to all of your for your membership in the Section and for your support of these activities and your ongoing creative ideas.  We hope this year is a fulfilling one in your statistical education pursuits; don’t hesitate to contact me or any officer if there are ways we can help.</w:t>
      </w:r>
    </w:p>
    <w:p w:rsidR="000F3875" w:rsidRDefault="000F3875" w:rsidP="000F3875">
      <w:pPr>
        <w:pStyle w:val="BodyText2"/>
        <w:rPr>
          <w:rFonts w:eastAsia="Times New Roman"/>
          <w:szCs w:val="22"/>
        </w:rPr>
      </w:pPr>
    </w:p>
    <w:p w:rsidR="000F3875" w:rsidRDefault="000F3875" w:rsidP="000F3875">
      <w:pPr>
        <w:pStyle w:val="BodyText2"/>
        <w:rPr>
          <w:rFonts w:eastAsia="Times New Roman"/>
          <w:szCs w:val="22"/>
        </w:rPr>
      </w:pPr>
      <w:r>
        <w:rPr>
          <w:rFonts w:eastAsia="Times New Roman"/>
          <w:szCs w:val="22"/>
        </w:rPr>
        <w:t>Sincerely,</w:t>
      </w:r>
    </w:p>
    <w:p w:rsidR="000F3875" w:rsidRDefault="000F3875" w:rsidP="000F3875">
      <w:pPr>
        <w:pStyle w:val="BodyText2"/>
        <w:rPr>
          <w:rFonts w:eastAsia="Times New Roman"/>
          <w:szCs w:val="22"/>
        </w:rPr>
      </w:pPr>
    </w:p>
    <w:p w:rsidR="000F3875" w:rsidRDefault="000F3875" w:rsidP="000F3875">
      <w:pPr>
        <w:pStyle w:val="BodyText2"/>
        <w:rPr>
          <w:rFonts w:eastAsia="Times New Roman"/>
          <w:szCs w:val="22"/>
        </w:rPr>
      </w:pPr>
      <w:r>
        <w:rPr>
          <w:rFonts w:eastAsia="Times New Roman"/>
          <w:szCs w:val="22"/>
        </w:rPr>
        <w:t>Beth Chance</w:t>
      </w:r>
    </w:p>
    <w:p w:rsidR="000F3875" w:rsidRDefault="000F3875" w:rsidP="000F3875">
      <w:pPr>
        <w:pStyle w:val="BodyText2"/>
        <w:rPr>
          <w:rFonts w:eastAsia="Times New Roman"/>
          <w:szCs w:val="22"/>
        </w:rPr>
      </w:pPr>
      <w:r>
        <w:rPr>
          <w:rFonts w:eastAsia="Times New Roman"/>
          <w:szCs w:val="22"/>
        </w:rPr>
        <w:t>Chair, ASA Section on Statistical Education</w:t>
      </w:r>
    </w:p>
    <w:p w:rsidR="000F3875" w:rsidRDefault="000F3875" w:rsidP="000F3875">
      <w:pPr>
        <w:pStyle w:val="BodyText2"/>
        <w:rPr>
          <w:rFonts w:eastAsia="Times New Roman"/>
          <w:szCs w:val="22"/>
        </w:rPr>
      </w:pPr>
    </w:p>
    <w:p w:rsidR="000F3875" w:rsidRDefault="000F3875" w:rsidP="000F3875">
      <w:pPr>
        <w:pStyle w:val="BodyText2"/>
        <w:rPr>
          <w:rFonts w:eastAsia="Times New Roman"/>
          <w:szCs w:val="22"/>
        </w:rPr>
      </w:pPr>
    </w:p>
    <w:p w:rsidR="000F3875" w:rsidRDefault="000F3875">
      <w:pPr>
        <w:rPr>
          <w:rFonts w:ascii="Times New Roman" w:eastAsia="Times New Roman" w:hAnsi="Times New Roman"/>
          <w:b/>
          <w:snapToGrid w:val="0"/>
          <w:color w:val="000000"/>
          <w:sz w:val="22"/>
          <w:szCs w:val="22"/>
        </w:rPr>
      </w:pPr>
      <w:r>
        <w:rPr>
          <w:rFonts w:eastAsia="Times New Roman"/>
          <w:b/>
          <w:szCs w:val="22"/>
        </w:rPr>
        <w:br w:type="page"/>
      </w:r>
    </w:p>
    <w:p w:rsidR="00896B05" w:rsidRPr="000F3875" w:rsidRDefault="000F3875" w:rsidP="00630FBA">
      <w:pPr>
        <w:pStyle w:val="BodyText2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lastRenderedPageBreak/>
        <w:t>Mission Statement – Section on Statistics Education</w:t>
      </w:r>
    </w:p>
    <w:p w:rsidR="000E1214" w:rsidRPr="000E1214" w:rsidRDefault="000E1214" w:rsidP="000E1214">
      <w:pPr>
        <w:shd w:val="clear" w:color="auto" w:fill="FFFFFF"/>
        <w:rPr>
          <w:rFonts w:ascii="Times New Roman" w:eastAsia="Times New Roman" w:hAnsi="Times New Roman"/>
          <w:color w:val="111111"/>
          <w:sz w:val="22"/>
          <w:szCs w:val="22"/>
        </w:rPr>
      </w:pPr>
    </w:p>
    <w:p w:rsidR="00896B05" w:rsidRPr="00896B05" w:rsidRDefault="00896B05" w:rsidP="000E1214">
      <w:pPr>
        <w:shd w:val="clear" w:color="auto" w:fill="FFFFFF"/>
        <w:ind w:left="36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Statistics is the science of learning from data. Our mission is to promote the teaching and learning of statistics at any level for any audience. Specifically we will:</w:t>
      </w:r>
    </w:p>
    <w:p w:rsidR="00896B05" w:rsidRPr="00896B05" w:rsidRDefault="00896B05" w:rsidP="000E1214">
      <w:pPr>
        <w:numPr>
          <w:ilvl w:val="0"/>
          <w:numId w:val="41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Advise the Association on the educational elements of the ASA strategic plan, including the need for education on the role and value of statisticians to the following audiences:</w:t>
      </w:r>
    </w:p>
    <w:p w:rsidR="00896B05" w:rsidRPr="00896B05" w:rsidRDefault="00896B05" w:rsidP="000E1214">
      <w:pPr>
        <w:numPr>
          <w:ilvl w:val="1"/>
          <w:numId w:val="41"/>
        </w:numPr>
        <w:shd w:val="clear" w:color="auto" w:fill="FFFFFF"/>
        <w:ind w:left="180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Management in business and government</w:t>
      </w:r>
    </w:p>
    <w:p w:rsidR="00896B05" w:rsidRPr="00896B05" w:rsidRDefault="00896B05" w:rsidP="000E1214">
      <w:pPr>
        <w:numPr>
          <w:ilvl w:val="1"/>
          <w:numId w:val="41"/>
        </w:numPr>
        <w:shd w:val="clear" w:color="auto" w:fill="FFFFFF"/>
        <w:ind w:left="180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Professionals such as journalists, lawyers and medical personnel</w:t>
      </w:r>
    </w:p>
    <w:p w:rsidR="00896B05" w:rsidRPr="00896B05" w:rsidRDefault="00896B05" w:rsidP="000E1214">
      <w:pPr>
        <w:numPr>
          <w:ilvl w:val="1"/>
          <w:numId w:val="41"/>
        </w:numPr>
        <w:shd w:val="clear" w:color="auto" w:fill="FFFFFF"/>
        <w:ind w:left="180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Public policy makers at state, national and international levels</w:t>
      </w:r>
    </w:p>
    <w:p w:rsidR="00896B05" w:rsidRPr="00896B05" w:rsidRDefault="00896B05" w:rsidP="000E1214">
      <w:pPr>
        <w:numPr>
          <w:ilvl w:val="1"/>
          <w:numId w:val="41"/>
        </w:numPr>
        <w:shd w:val="clear" w:color="auto" w:fill="FFFFFF"/>
        <w:ind w:left="180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K-12 policy makers, administrators and teachers</w:t>
      </w:r>
    </w:p>
    <w:p w:rsidR="00896B05" w:rsidRPr="00896B05" w:rsidRDefault="00896B05" w:rsidP="000E1214">
      <w:pPr>
        <w:numPr>
          <w:ilvl w:val="1"/>
          <w:numId w:val="41"/>
        </w:numPr>
        <w:shd w:val="clear" w:color="auto" w:fill="FFFFFF"/>
        <w:ind w:left="180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Academic non-statisticians</w:t>
      </w:r>
    </w:p>
    <w:p w:rsidR="00896B05" w:rsidRPr="00896B05" w:rsidRDefault="00896B05" w:rsidP="000E1214">
      <w:pPr>
        <w:numPr>
          <w:ilvl w:val="0"/>
          <w:numId w:val="41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Promote research and practice to improve statistics education and statistical literacy</w:t>
      </w:r>
    </w:p>
    <w:p w:rsidR="00896B05" w:rsidRPr="00896B05" w:rsidRDefault="00896B05" w:rsidP="000E1214">
      <w:pPr>
        <w:numPr>
          <w:ilvl w:val="0"/>
          <w:numId w:val="41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Support the dissemination of professional development and funding opportunities, teaching resources and research findings in statistical education.</w:t>
      </w:r>
    </w:p>
    <w:p w:rsidR="00896B05" w:rsidRPr="00896B05" w:rsidRDefault="00896B05" w:rsidP="000E1214">
      <w:pPr>
        <w:numPr>
          <w:ilvl w:val="0"/>
          <w:numId w:val="41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Improve the pipeline from K-12 through colleges to statistics professionals.</w:t>
      </w:r>
    </w:p>
    <w:p w:rsidR="000E1214" w:rsidRDefault="000E1214" w:rsidP="000E1214">
      <w:pPr>
        <w:shd w:val="clear" w:color="auto" w:fill="FFFFFF"/>
        <w:ind w:left="360"/>
        <w:rPr>
          <w:rFonts w:ascii="Times New Roman" w:eastAsia="Times New Roman" w:hAnsi="Times New Roman"/>
          <w:color w:val="111111"/>
          <w:sz w:val="22"/>
          <w:szCs w:val="22"/>
        </w:rPr>
      </w:pPr>
    </w:p>
    <w:p w:rsidR="00896B05" w:rsidRPr="00896B05" w:rsidRDefault="00896B05" w:rsidP="000E1214">
      <w:pPr>
        <w:shd w:val="clear" w:color="auto" w:fill="FFFFFF"/>
        <w:ind w:left="36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Outcomes:</w:t>
      </w:r>
    </w:p>
    <w:p w:rsidR="00896B05" w:rsidRPr="00896B05" w:rsidRDefault="00896B05" w:rsidP="000E1214">
      <w:pPr>
        <w:numPr>
          <w:ilvl w:val="0"/>
          <w:numId w:val="42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Help ASA achieve strategic goals, in collaboration with external entities</w:t>
      </w:r>
    </w:p>
    <w:p w:rsidR="00896B05" w:rsidRPr="00896B05" w:rsidRDefault="00896B05" w:rsidP="000E1214">
      <w:pPr>
        <w:numPr>
          <w:ilvl w:val="0"/>
          <w:numId w:val="42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Expanded professional development opportunities</w:t>
      </w:r>
    </w:p>
    <w:p w:rsidR="00896B05" w:rsidRPr="00896B05" w:rsidRDefault="00896B05" w:rsidP="000E1214">
      <w:pPr>
        <w:numPr>
          <w:ilvl w:val="0"/>
          <w:numId w:val="42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Improved teaching</w:t>
      </w:r>
    </w:p>
    <w:p w:rsidR="00896B05" w:rsidRPr="00896B05" w:rsidRDefault="00896B05" w:rsidP="000E1214">
      <w:pPr>
        <w:numPr>
          <w:ilvl w:val="0"/>
          <w:numId w:val="42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Improved cooperation between statistics education researchers and practitioners in their role as statistics educators</w:t>
      </w:r>
    </w:p>
    <w:p w:rsidR="00896B05" w:rsidRPr="00896B05" w:rsidRDefault="00896B05" w:rsidP="000E1214">
      <w:pPr>
        <w:numPr>
          <w:ilvl w:val="0"/>
          <w:numId w:val="42"/>
        </w:numPr>
        <w:shd w:val="clear" w:color="auto" w:fill="FFFFFF"/>
        <w:ind w:left="1080"/>
        <w:rPr>
          <w:rFonts w:ascii="Times New Roman" w:eastAsia="Times New Roman" w:hAnsi="Times New Roman"/>
          <w:color w:val="111111"/>
          <w:sz w:val="22"/>
          <w:szCs w:val="22"/>
        </w:rPr>
      </w:pPr>
      <w:r w:rsidRPr="00896B05">
        <w:rPr>
          <w:rFonts w:ascii="Times New Roman" w:eastAsia="Times New Roman" w:hAnsi="Times New Roman"/>
          <w:color w:val="111111"/>
          <w:sz w:val="22"/>
          <w:szCs w:val="22"/>
        </w:rPr>
        <w:t>Improved pipeline</w:t>
      </w:r>
    </w:p>
    <w:p w:rsidR="00FD33F8" w:rsidRDefault="00FD33F8" w:rsidP="00630FBA">
      <w:pPr>
        <w:pStyle w:val="BodyText2"/>
        <w:rPr>
          <w:rFonts w:eastAsia="Times New Roman"/>
          <w:szCs w:val="22"/>
        </w:rPr>
      </w:pPr>
    </w:p>
    <w:sectPr w:rsidR="00FD33F8" w:rsidSect="00F004AD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97" w:rsidRDefault="00DA7C97">
      <w:r>
        <w:separator/>
      </w:r>
    </w:p>
  </w:endnote>
  <w:endnote w:type="continuationSeparator" w:id="0">
    <w:p w:rsidR="00DA7C97" w:rsidRDefault="00DA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4B" w:rsidRDefault="00AE0A4B">
    <w:pPr>
      <w:pStyle w:val="Footer"/>
      <w:jc w:val="center"/>
      <w:rPr>
        <w:rStyle w:val="PageNumber"/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Page </w:t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428E9">
      <w:rPr>
        <w:rStyle w:val="PageNumber"/>
        <w:rFonts w:ascii="Times New Roman" w:hAnsi="Times New Roman"/>
        <w:noProof/>
        <w:sz w:val="16"/>
      </w:rPr>
      <w:t>2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  <w:rFonts w:ascii="Times New Roman" w:hAnsi="Times New Roman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428E9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AE0A4B" w:rsidRDefault="00AE0A4B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97" w:rsidRDefault="00DA7C97">
      <w:r>
        <w:separator/>
      </w:r>
    </w:p>
  </w:footnote>
  <w:footnote w:type="continuationSeparator" w:id="0">
    <w:p w:rsidR="00DA7C97" w:rsidRDefault="00DA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21DF8"/>
    <w:multiLevelType w:val="hybridMultilevel"/>
    <w:tmpl w:val="AFE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10435"/>
    <w:multiLevelType w:val="hybridMultilevel"/>
    <w:tmpl w:val="066EE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3565D"/>
    <w:multiLevelType w:val="hybridMultilevel"/>
    <w:tmpl w:val="C694A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9D107B"/>
    <w:multiLevelType w:val="hybridMultilevel"/>
    <w:tmpl w:val="EC5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4500B"/>
    <w:multiLevelType w:val="hybridMultilevel"/>
    <w:tmpl w:val="1A0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13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C41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24561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26C43C4"/>
    <w:multiLevelType w:val="hybridMultilevel"/>
    <w:tmpl w:val="D51A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15B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9EE5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B576F39"/>
    <w:multiLevelType w:val="hybridMultilevel"/>
    <w:tmpl w:val="5212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BE4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750766"/>
    <w:multiLevelType w:val="hybridMultilevel"/>
    <w:tmpl w:val="FA8A2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2B3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2755E9E"/>
    <w:multiLevelType w:val="multilevel"/>
    <w:tmpl w:val="3910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CC486C"/>
    <w:multiLevelType w:val="hybridMultilevel"/>
    <w:tmpl w:val="5852BFD6"/>
    <w:lvl w:ilvl="0" w:tplc="34D67A0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F6C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7D80FD3"/>
    <w:multiLevelType w:val="hybridMultilevel"/>
    <w:tmpl w:val="6904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F76E1"/>
    <w:multiLevelType w:val="hybridMultilevel"/>
    <w:tmpl w:val="B48C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960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C9C6AA5"/>
    <w:multiLevelType w:val="hybridMultilevel"/>
    <w:tmpl w:val="07B0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33803"/>
    <w:multiLevelType w:val="hybridMultilevel"/>
    <w:tmpl w:val="26B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BF1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B56674E"/>
    <w:multiLevelType w:val="hybridMultilevel"/>
    <w:tmpl w:val="C5E0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2A55F2"/>
    <w:multiLevelType w:val="hybridMultilevel"/>
    <w:tmpl w:val="D6EC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02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C42729"/>
    <w:multiLevelType w:val="multilevel"/>
    <w:tmpl w:val="12C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001B6"/>
    <w:multiLevelType w:val="hybridMultilevel"/>
    <w:tmpl w:val="AD04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4317F"/>
    <w:multiLevelType w:val="hybridMultilevel"/>
    <w:tmpl w:val="0246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5865"/>
    <w:multiLevelType w:val="hybridMultilevel"/>
    <w:tmpl w:val="E486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17"/>
  </w:num>
  <w:num w:numId="14">
    <w:abstractNumId w:val="37"/>
  </w:num>
  <w:num w:numId="15">
    <w:abstractNumId w:val="31"/>
  </w:num>
  <w:num w:numId="16">
    <w:abstractNumId w:val="21"/>
  </w:num>
  <w:num w:numId="17">
    <w:abstractNumId w:val="20"/>
  </w:num>
  <w:num w:numId="18">
    <w:abstractNumId w:val="34"/>
  </w:num>
  <w:num w:numId="19">
    <w:abstractNumId w:val="25"/>
  </w:num>
  <w:num w:numId="20">
    <w:abstractNumId w:val="18"/>
  </w:num>
  <w:num w:numId="21">
    <w:abstractNumId w:val="28"/>
  </w:num>
  <w:num w:numId="22">
    <w:abstractNumId w:val="16"/>
  </w:num>
  <w:num w:numId="23">
    <w:abstractNumId w:val="23"/>
  </w:num>
  <w:num w:numId="24">
    <w:abstractNumId w:val="39"/>
  </w:num>
  <w:num w:numId="25">
    <w:abstractNumId w:val="27"/>
  </w:num>
  <w:num w:numId="26">
    <w:abstractNumId w:val="35"/>
  </w:num>
  <w:num w:numId="27">
    <w:abstractNumId w:val="32"/>
  </w:num>
  <w:num w:numId="28">
    <w:abstractNumId w:val="14"/>
  </w:num>
  <w:num w:numId="29">
    <w:abstractNumId w:val="22"/>
  </w:num>
  <w:num w:numId="30">
    <w:abstractNumId w:val="41"/>
  </w:num>
  <w:num w:numId="31">
    <w:abstractNumId w:val="12"/>
  </w:num>
  <w:num w:numId="32">
    <w:abstractNumId w:val="24"/>
  </w:num>
  <w:num w:numId="33">
    <w:abstractNumId w:val="33"/>
  </w:num>
  <w:num w:numId="34">
    <w:abstractNumId w:val="19"/>
  </w:num>
  <w:num w:numId="35">
    <w:abstractNumId w:val="40"/>
  </w:num>
  <w:num w:numId="36">
    <w:abstractNumId w:val="15"/>
  </w:num>
  <w:num w:numId="37">
    <w:abstractNumId w:val="36"/>
  </w:num>
  <w:num w:numId="38">
    <w:abstractNumId w:val="29"/>
  </w:num>
  <w:num w:numId="39">
    <w:abstractNumId w:val="30"/>
  </w:num>
  <w:num w:numId="40">
    <w:abstractNumId w:val="13"/>
  </w:num>
  <w:num w:numId="41">
    <w:abstractNumId w:val="26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1D"/>
    <w:rsid w:val="00003DCA"/>
    <w:rsid w:val="000116A4"/>
    <w:rsid w:val="00017878"/>
    <w:rsid w:val="0003576E"/>
    <w:rsid w:val="00035815"/>
    <w:rsid w:val="0003612F"/>
    <w:rsid w:val="00037747"/>
    <w:rsid w:val="00053CEF"/>
    <w:rsid w:val="00080001"/>
    <w:rsid w:val="00081FF0"/>
    <w:rsid w:val="00097AF6"/>
    <w:rsid w:val="000A6636"/>
    <w:rsid w:val="000E1214"/>
    <w:rsid w:val="000F3875"/>
    <w:rsid w:val="001022AE"/>
    <w:rsid w:val="00112B6A"/>
    <w:rsid w:val="00176A61"/>
    <w:rsid w:val="00181B9E"/>
    <w:rsid w:val="00183021"/>
    <w:rsid w:val="001A45E5"/>
    <w:rsid w:val="001B3BB8"/>
    <w:rsid w:val="001E4A8C"/>
    <w:rsid w:val="002025D7"/>
    <w:rsid w:val="002141D6"/>
    <w:rsid w:val="00225518"/>
    <w:rsid w:val="002310B1"/>
    <w:rsid w:val="0023191D"/>
    <w:rsid w:val="00277135"/>
    <w:rsid w:val="002A414C"/>
    <w:rsid w:val="002D0D43"/>
    <w:rsid w:val="002D0F71"/>
    <w:rsid w:val="0030699A"/>
    <w:rsid w:val="0033430F"/>
    <w:rsid w:val="0033519C"/>
    <w:rsid w:val="00381E27"/>
    <w:rsid w:val="0039398A"/>
    <w:rsid w:val="003B2994"/>
    <w:rsid w:val="003B411F"/>
    <w:rsid w:val="003D4DAA"/>
    <w:rsid w:val="003D73FF"/>
    <w:rsid w:val="00420A34"/>
    <w:rsid w:val="00430850"/>
    <w:rsid w:val="004533ED"/>
    <w:rsid w:val="004A0977"/>
    <w:rsid w:val="004A3950"/>
    <w:rsid w:val="004B5E81"/>
    <w:rsid w:val="004F418C"/>
    <w:rsid w:val="00516AB2"/>
    <w:rsid w:val="00522ADD"/>
    <w:rsid w:val="00537F9F"/>
    <w:rsid w:val="00587EA1"/>
    <w:rsid w:val="0059075D"/>
    <w:rsid w:val="00591998"/>
    <w:rsid w:val="0059382B"/>
    <w:rsid w:val="005B0175"/>
    <w:rsid w:val="005C033E"/>
    <w:rsid w:val="005C552B"/>
    <w:rsid w:val="005C5DF1"/>
    <w:rsid w:val="005D5788"/>
    <w:rsid w:val="00623236"/>
    <w:rsid w:val="00626D70"/>
    <w:rsid w:val="00630FBA"/>
    <w:rsid w:val="00634CB4"/>
    <w:rsid w:val="0063530B"/>
    <w:rsid w:val="00657A3C"/>
    <w:rsid w:val="00675229"/>
    <w:rsid w:val="00680518"/>
    <w:rsid w:val="00687CFD"/>
    <w:rsid w:val="006B0D60"/>
    <w:rsid w:val="006D4C8F"/>
    <w:rsid w:val="006E351D"/>
    <w:rsid w:val="006F464F"/>
    <w:rsid w:val="006F4C9F"/>
    <w:rsid w:val="006F56EB"/>
    <w:rsid w:val="006F7D6E"/>
    <w:rsid w:val="0070630B"/>
    <w:rsid w:val="00716CFE"/>
    <w:rsid w:val="007223C1"/>
    <w:rsid w:val="00724470"/>
    <w:rsid w:val="00730B90"/>
    <w:rsid w:val="0074249E"/>
    <w:rsid w:val="007428E9"/>
    <w:rsid w:val="007A4373"/>
    <w:rsid w:val="007B58A4"/>
    <w:rsid w:val="007B7751"/>
    <w:rsid w:val="007C7FD2"/>
    <w:rsid w:val="007D07BA"/>
    <w:rsid w:val="007E3E0A"/>
    <w:rsid w:val="007F3BE7"/>
    <w:rsid w:val="008078DF"/>
    <w:rsid w:val="0081109C"/>
    <w:rsid w:val="008163EF"/>
    <w:rsid w:val="008308AC"/>
    <w:rsid w:val="008625F6"/>
    <w:rsid w:val="00865E91"/>
    <w:rsid w:val="008773D2"/>
    <w:rsid w:val="00884F0F"/>
    <w:rsid w:val="00896B05"/>
    <w:rsid w:val="008A479F"/>
    <w:rsid w:val="008A68FF"/>
    <w:rsid w:val="008B4B9D"/>
    <w:rsid w:val="008E2C84"/>
    <w:rsid w:val="008E3A39"/>
    <w:rsid w:val="00937772"/>
    <w:rsid w:val="00944494"/>
    <w:rsid w:val="00946BEB"/>
    <w:rsid w:val="00963571"/>
    <w:rsid w:val="00964E82"/>
    <w:rsid w:val="00982C72"/>
    <w:rsid w:val="009840BA"/>
    <w:rsid w:val="009964AF"/>
    <w:rsid w:val="009C0601"/>
    <w:rsid w:val="009D47A8"/>
    <w:rsid w:val="009F6CA9"/>
    <w:rsid w:val="00A065C1"/>
    <w:rsid w:val="00A2261D"/>
    <w:rsid w:val="00A251B0"/>
    <w:rsid w:val="00A3286D"/>
    <w:rsid w:val="00A41758"/>
    <w:rsid w:val="00A41BEF"/>
    <w:rsid w:val="00A50243"/>
    <w:rsid w:val="00A574E2"/>
    <w:rsid w:val="00A67B66"/>
    <w:rsid w:val="00AB2009"/>
    <w:rsid w:val="00AB4725"/>
    <w:rsid w:val="00AD7E3B"/>
    <w:rsid w:val="00AE0A4B"/>
    <w:rsid w:val="00AE556C"/>
    <w:rsid w:val="00AF63C6"/>
    <w:rsid w:val="00B37E9D"/>
    <w:rsid w:val="00B478EE"/>
    <w:rsid w:val="00B570BA"/>
    <w:rsid w:val="00B7134D"/>
    <w:rsid w:val="00B72B63"/>
    <w:rsid w:val="00B9369F"/>
    <w:rsid w:val="00B966CC"/>
    <w:rsid w:val="00BB37C3"/>
    <w:rsid w:val="00BB3DD8"/>
    <w:rsid w:val="00BB6842"/>
    <w:rsid w:val="00BF7C8B"/>
    <w:rsid w:val="00C42F20"/>
    <w:rsid w:val="00C84490"/>
    <w:rsid w:val="00C875F3"/>
    <w:rsid w:val="00CA21F0"/>
    <w:rsid w:val="00CA4E58"/>
    <w:rsid w:val="00CD68CF"/>
    <w:rsid w:val="00D163B0"/>
    <w:rsid w:val="00D416D5"/>
    <w:rsid w:val="00D4488B"/>
    <w:rsid w:val="00D7087F"/>
    <w:rsid w:val="00D85BC8"/>
    <w:rsid w:val="00D96D18"/>
    <w:rsid w:val="00DA7C97"/>
    <w:rsid w:val="00E17F13"/>
    <w:rsid w:val="00E201B2"/>
    <w:rsid w:val="00E22063"/>
    <w:rsid w:val="00E326D0"/>
    <w:rsid w:val="00E41C8F"/>
    <w:rsid w:val="00E535A6"/>
    <w:rsid w:val="00E70EA1"/>
    <w:rsid w:val="00E77F8E"/>
    <w:rsid w:val="00E85D92"/>
    <w:rsid w:val="00E85EFB"/>
    <w:rsid w:val="00EA0C51"/>
    <w:rsid w:val="00EA675C"/>
    <w:rsid w:val="00EB4934"/>
    <w:rsid w:val="00EF517F"/>
    <w:rsid w:val="00EF5798"/>
    <w:rsid w:val="00F004AD"/>
    <w:rsid w:val="00F03CC1"/>
    <w:rsid w:val="00F24E3B"/>
    <w:rsid w:val="00F32CF4"/>
    <w:rsid w:val="00F4133F"/>
    <w:rsid w:val="00F54CB0"/>
    <w:rsid w:val="00F61955"/>
    <w:rsid w:val="00F92239"/>
    <w:rsid w:val="00FB336D"/>
    <w:rsid w:val="00FD2BDA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CE17"/>
  <w15:docId w15:val="{616D967C-0BFC-4637-982A-2240357D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napToGrid w:val="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napToGrid w:val="0"/>
      <w:color w:val="00000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urier New" w:hAnsi="Courier New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Times New Roman" w:hAnsi="Times New Roman"/>
      <w:snapToGrid w:val="0"/>
      <w:sz w:val="22"/>
    </w:rPr>
  </w:style>
  <w:style w:type="paragraph" w:styleId="BodyText2">
    <w:name w:val="Body Text 2"/>
    <w:basedOn w:val="Normal"/>
    <w:semiHidden/>
    <w:rPr>
      <w:rFonts w:ascii="Times New Roman" w:hAnsi="Times New Roman"/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8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4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411F"/>
    <w:rPr>
      <w:rFonts w:ascii="Courier New" w:eastAsia="Times New Roman" w:hAnsi="Courier New" w:cs="Courier New"/>
    </w:rPr>
  </w:style>
  <w:style w:type="character" w:customStyle="1" w:styleId="gcwxi2kcpkb">
    <w:name w:val="gcwxi2kcpkb"/>
    <w:basedOn w:val="DefaultParagraphFont"/>
    <w:rsid w:val="003B411F"/>
  </w:style>
  <w:style w:type="character" w:customStyle="1" w:styleId="gcwxi2kcpjb">
    <w:name w:val="gcwxi2kcpjb"/>
    <w:basedOn w:val="DefaultParagraphFont"/>
    <w:rsid w:val="003B411F"/>
  </w:style>
  <w:style w:type="paragraph" w:styleId="NormalWeb">
    <w:name w:val="Normal (Web)"/>
    <w:basedOn w:val="Normal"/>
    <w:uiPriority w:val="99"/>
    <w:rsid w:val="00630F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4B5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2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.org/programs-and-communities/professional-development/stat-pr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s.nationalacademies.org/cstb/currentprojects/cstb_1752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mmunity.amstat.org/statisticaleducationsection/aboutus/offic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useweb.org/cause/ecots/ecots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Guide:  Graphical Summaries of Distributions</vt:lpstr>
    </vt:vector>
  </TitlesOfParts>
  <Company>Bucknell University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Guide:  Graphical Summaries of Distributions</dc:title>
  <dc:creator>CCS</dc:creator>
  <cp:lastModifiedBy>Beth L. Chance</cp:lastModifiedBy>
  <cp:revision>6</cp:revision>
  <cp:lastPrinted>2017-01-16T19:42:00Z</cp:lastPrinted>
  <dcterms:created xsi:type="dcterms:W3CDTF">2018-01-17T17:56:00Z</dcterms:created>
  <dcterms:modified xsi:type="dcterms:W3CDTF">2018-01-21T15:41:00Z</dcterms:modified>
</cp:coreProperties>
</file>