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CF0BD" w14:textId="77777777" w:rsidR="00E45A6C" w:rsidRPr="00E45A6C" w:rsidRDefault="00E45A6C" w:rsidP="00E45A6C">
      <w:pPr>
        <w:pStyle w:val="paragraph"/>
        <w:spacing w:before="0" w:beforeAutospacing="0" w:after="0" w:afterAutospacing="0"/>
        <w:ind w:left="105"/>
        <w:jc w:val="center"/>
        <w:textAlignment w:val="baseline"/>
        <w:rPr>
          <w:rStyle w:val="normaltextrun"/>
          <w:rFonts w:asciiTheme="minorHAnsi" w:eastAsiaTheme="majorEastAsia" w:hAnsiTheme="minorHAnsi" w:cstheme="minorHAnsi"/>
          <w:b/>
          <w:bCs/>
          <w:sz w:val="32"/>
          <w:szCs w:val="32"/>
        </w:rPr>
      </w:pPr>
      <w:r w:rsidRPr="00E45A6C">
        <w:rPr>
          <w:rStyle w:val="normaltextrun"/>
          <w:rFonts w:asciiTheme="minorHAnsi" w:eastAsiaTheme="majorEastAsia" w:hAnsiTheme="minorHAnsi" w:cstheme="minorHAnsi"/>
          <w:b/>
          <w:bCs/>
          <w:sz w:val="32"/>
          <w:szCs w:val="32"/>
        </w:rPr>
        <w:t>ALA Core Metadata and Collections Section Subject Analysis Committee</w:t>
      </w:r>
    </w:p>
    <w:p w14:paraId="636C5694" w14:textId="06FE2D37" w:rsidR="00E45A6C" w:rsidRPr="00E45A6C" w:rsidRDefault="00E45A6C" w:rsidP="00E45A6C">
      <w:pPr>
        <w:pStyle w:val="paragraph"/>
        <w:spacing w:before="0" w:beforeAutospacing="0" w:after="0" w:afterAutospacing="0"/>
        <w:ind w:left="105"/>
        <w:jc w:val="center"/>
        <w:textAlignment w:val="baseline"/>
        <w:rPr>
          <w:rFonts w:asciiTheme="minorHAnsi" w:hAnsiTheme="minorHAnsi" w:cstheme="minorHAnsi"/>
          <w:sz w:val="18"/>
          <w:szCs w:val="18"/>
        </w:rPr>
      </w:pPr>
      <w:r>
        <w:rPr>
          <w:rStyle w:val="normaltextrun"/>
          <w:rFonts w:asciiTheme="minorHAnsi" w:eastAsiaTheme="majorEastAsia" w:hAnsiTheme="minorHAnsi" w:cstheme="minorHAnsi"/>
          <w:sz w:val="22"/>
          <w:szCs w:val="22"/>
        </w:rPr>
        <w:t>February 2025</w:t>
      </w:r>
      <w:r w:rsidRPr="00E45A6C">
        <w:rPr>
          <w:rStyle w:val="eop"/>
          <w:rFonts w:asciiTheme="minorHAnsi" w:hAnsiTheme="minorHAnsi" w:cstheme="minorHAnsi"/>
          <w:sz w:val="22"/>
          <w:szCs w:val="22"/>
        </w:rPr>
        <w:t> </w:t>
      </w:r>
    </w:p>
    <w:p w14:paraId="4E425663" w14:textId="77777777" w:rsidR="00E45A6C" w:rsidRPr="00E45A6C" w:rsidRDefault="00E45A6C" w:rsidP="00E45A6C">
      <w:pPr>
        <w:pStyle w:val="paragraph"/>
        <w:spacing w:before="0" w:beforeAutospacing="0" w:after="0" w:afterAutospacing="0"/>
        <w:ind w:left="1335" w:right="1335"/>
        <w:jc w:val="center"/>
        <w:textAlignment w:val="baseline"/>
        <w:rPr>
          <w:rFonts w:asciiTheme="minorHAnsi" w:hAnsiTheme="minorHAnsi" w:cstheme="minorHAnsi"/>
          <w:sz w:val="18"/>
          <w:szCs w:val="18"/>
        </w:rPr>
      </w:pPr>
      <w:r w:rsidRPr="00E45A6C">
        <w:rPr>
          <w:rStyle w:val="normaltextrun"/>
          <w:rFonts w:asciiTheme="minorHAnsi" w:eastAsiaTheme="majorEastAsia" w:hAnsiTheme="minorHAnsi" w:cstheme="minorHAnsi"/>
          <w:b/>
          <w:bCs/>
        </w:rPr>
        <w:t>Library of Congress Policy, Training, and Cooperative Programs Division Report</w:t>
      </w:r>
      <w:r w:rsidRPr="00E45A6C">
        <w:rPr>
          <w:rStyle w:val="eop"/>
          <w:rFonts w:asciiTheme="minorHAnsi" w:hAnsiTheme="minorHAnsi" w:cstheme="minorHAnsi"/>
        </w:rPr>
        <w:t> </w:t>
      </w:r>
    </w:p>
    <w:p w14:paraId="61F90002" w14:textId="77777777" w:rsidR="00E45A6C" w:rsidRPr="00E45A6C" w:rsidRDefault="00E45A6C" w:rsidP="00E45A6C">
      <w:pPr>
        <w:pStyle w:val="paragraph"/>
        <w:spacing w:before="0" w:beforeAutospacing="0" w:after="0" w:afterAutospacing="0"/>
        <w:ind w:left="3120"/>
        <w:textAlignment w:val="baseline"/>
        <w:rPr>
          <w:rFonts w:asciiTheme="minorHAnsi" w:hAnsiTheme="minorHAnsi" w:cstheme="minorHAnsi"/>
          <w:sz w:val="18"/>
          <w:szCs w:val="18"/>
        </w:rPr>
      </w:pPr>
      <w:r w:rsidRPr="00E45A6C">
        <w:rPr>
          <w:rStyle w:val="normaltextrun"/>
          <w:rFonts w:asciiTheme="minorHAnsi" w:eastAsiaTheme="majorEastAsia" w:hAnsiTheme="minorHAnsi" w:cstheme="minorHAnsi"/>
          <w:sz w:val="22"/>
          <w:szCs w:val="22"/>
        </w:rPr>
        <w:t>Submitted by Paul Frank, LC Liaison</w:t>
      </w:r>
      <w:r w:rsidRPr="00E45A6C">
        <w:rPr>
          <w:rStyle w:val="eop"/>
          <w:rFonts w:asciiTheme="minorHAnsi" w:hAnsiTheme="minorHAnsi" w:cstheme="minorHAnsi"/>
          <w:sz w:val="22"/>
          <w:szCs w:val="22"/>
        </w:rPr>
        <w:t> </w:t>
      </w:r>
    </w:p>
    <w:p w14:paraId="11B57E9B" w14:textId="5E567121" w:rsidR="0020685E" w:rsidRDefault="0020685E"/>
    <w:p w14:paraId="6F94245F" w14:textId="699398B6" w:rsidR="003009F5" w:rsidRPr="008B6349" w:rsidRDefault="003009F5" w:rsidP="00F525AA">
      <w:pPr>
        <w:pStyle w:val="NoSpacing"/>
        <w:spacing w:line="168" w:lineRule="auto"/>
        <w:rPr>
          <w:b/>
          <w:bCs/>
          <w:color w:val="F05128"/>
          <w:sz w:val="28"/>
          <w:szCs w:val="28"/>
        </w:rPr>
      </w:pPr>
      <w:bookmarkStart w:id="0" w:name="_Hlk139458350"/>
      <w:r w:rsidRPr="008B6349">
        <w:rPr>
          <w:b/>
          <w:bCs/>
          <w:color w:val="F05128"/>
          <w:sz w:val="28"/>
          <w:szCs w:val="28"/>
        </w:rPr>
        <w:t xml:space="preserve">Policy, Training, and Cooperative Programs Division (PTCP) </w:t>
      </w:r>
      <w:r w:rsidR="00C90A1C" w:rsidRPr="008B6349">
        <w:rPr>
          <w:b/>
          <w:bCs/>
          <w:color w:val="F05128"/>
          <w:sz w:val="28"/>
          <w:szCs w:val="28"/>
        </w:rPr>
        <w:t>General Updates</w:t>
      </w:r>
    </w:p>
    <w:p w14:paraId="0AE9EF79" w14:textId="4B2A15B0" w:rsidR="000813C2" w:rsidRDefault="004F262A" w:rsidP="00F525AA">
      <w:pPr>
        <w:pStyle w:val="NoSpacing"/>
        <w:spacing w:line="168" w:lineRule="auto"/>
        <w:rPr>
          <w:b/>
          <w:bCs/>
          <w:color w:val="F05128"/>
        </w:rPr>
      </w:pPr>
      <w:r>
        <w:rPr>
          <w:b/>
          <w:bCs/>
          <w:color w:val="F05128"/>
        </w:rPr>
        <w:t xml:space="preserve">              </w:t>
      </w:r>
    </w:p>
    <w:bookmarkEnd w:id="0"/>
    <w:p w14:paraId="6506B480" w14:textId="199309BE" w:rsidR="00B734D6" w:rsidRDefault="00B734D6" w:rsidP="00B734D6">
      <w:pPr>
        <w:pStyle w:val="NoSpacing"/>
        <w:spacing w:line="168" w:lineRule="auto"/>
        <w:ind w:left="720"/>
      </w:pPr>
      <w:r w:rsidRPr="00630E5B">
        <w:rPr>
          <w:b/>
          <w:bCs/>
          <w:sz w:val="24"/>
          <w:szCs w:val="24"/>
        </w:rPr>
        <w:t xml:space="preserve">Library of </w:t>
      </w:r>
      <w:r w:rsidR="00F477A5">
        <w:rPr>
          <w:b/>
          <w:bCs/>
          <w:sz w:val="24"/>
          <w:szCs w:val="24"/>
        </w:rPr>
        <w:t xml:space="preserve">Congress </w:t>
      </w:r>
      <w:r w:rsidR="0028556E" w:rsidRPr="00D85173">
        <w:rPr>
          <w:b/>
          <w:bCs/>
          <w:sz w:val="24"/>
          <w:szCs w:val="24"/>
        </w:rPr>
        <w:t>Genre/Form Terms for Library and Archival Materials (LCGFT)</w:t>
      </w:r>
    </w:p>
    <w:p w14:paraId="5860CD80" w14:textId="0BA8CA39" w:rsidR="00343F4C" w:rsidRPr="00343F4C" w:rsidRDefault="00F04E37" w:rsidP="007C5CC6">
      <w:pPr>
        <w:pStyle w:val="NoSpacing"/>
        <w:numPr>
          <w:ilvl w:val="0"/>
          <w:numId w:val="2"/>
        </w:numPr>
        <w:rPr>
          <w:b/>
          <w:bCs/>
        </w:rPr>
      </w:pPr>
      <w:r>
        <w:t xml:space="preserve">In July 2024, </w:t>
      </w:r>
      <w:r w:rsidRPr="00F04E37">
        <w:t xml:space="preserve">LCGFT Manual instruction sheet </w:t>
      </w:r>
      <w:hyperlink r:id="rId7" w:history="1">
        <w:r w:rsidRPr="00F04E37">
          <w:rPr>
            <w:rStyle w:val="Hyperlink"/>
          </w:rPr>
          <w:t>J 120</w:t>
        </w:r>
      </w:hyperlink>
      <w:r w:rsidRPr="00F04E37">
        <w:t xml:space="preserve"> </w:t>
      </w:r>
      <w:r w:rsidRPr="00F04E37">
        <w:rPr>
          <w:i/>
          <w:iCs/>
        </w:rPr>
        <w:t>When to Establish a New Term</w:t>
      </w:r>
      <w:r w:rsidRPr="00F04E37">
        <w:t xml:space="preserve"> (section 2a </w:t>
      </w:r>
      <w:r w:rsidRPr="007B0522">
        <w:rPr>
          <w:i/>
          <w:iCs/>
        </w:rPr>
        <w:t xml:space="preserve">Overlapping </w:t>
      </w:r>
      <w:r w:rsidR="007B0522" w:rsidRPr="007B0522">
        <w:rPr>
          <w:i/>
          <w:iCs/>
        </w:rPr>
        <w:t>g</w:t>
      </w:r>
      <w:r w:rsidRPr="007B0522">
        <w:rPr>
          <w:i/>
          <w:iCs/>
        </w:rPr>
        <w:t xml:space="preserve">enres or </w:t>
      </w:r>
      <w:r w:rsidR="007B0522" w:rsidRPr="007B0522">
        <w:rPr>
          <w:i/>
          <w:iCs/>
        </w:rPr>
        <w:t>f</w:t>
      </w:r>
      <w:r w:rsidRPr="007B0522">
        <w:rPr>
          <w:i/>
          <w:iCs/>
        </w:rPr>
        <w:t>orms</w:t>
      </w:r>
      <w:r w:rsidRPr="00F04E37">
        <w:t>) was revised.</w:t>
      </w:r>
    </w:p>
    <w:p w14:paraId="13A787A2" w14:textId="0E89FA8E" w:rsidR="006226B0" w:rsidRPr="006226B0" w:rsidRDefault="00F04E37" w:rsidP="006226B0">
      <w:pPr>
        <w:pStyle w:val="NoSpacing"/>
        <w:numPr>
          <w:ilvl w:val="0"/>
          <w:numId w:val="2"/>
        </w:numPr>
        <w:rPr>
          <w:rStyle w:val="normaltextrun"/>
          <w:b/>
          <w:bCs/>
        </w:rPr>
      </w:pPr>
      <w:r>
        <w:rPr>
          <w:rStyle w:val="normaltextrun"/>
        </w:rPr>
        <w:t xml:space="preserve">Cataloging Policy Specialists </w:t>
      </w:r>
      <w:r w:rsidRPr="00F04E37">
        <w:rPr>
          <w:rStyle w:val="normaltextrun"/>
        </w:rPr>
        <w:t>Dorie Kurtz and Amy Phillips</w:t>
      </w:r>
      <w:r w:rsidR="006226B0">
        <w:rPr>
          <w:rStyle w:val="normaltextrun"/>
        </w:rPr>
        <w:t xml:space="preserve"> (co-chairs)</w:t>
      </w:r>
      <w:r w:rsidRPr="00F04E37">
        <w:rPr>
          <w:rStyle w:val="normaltextrun"/>
        </w:rPr>
        <w:t xml:space="preserve"> are considering the scope of LCGFT</w:t>
      </w:r>
      <w:r>
        <w:rPr>
          <w:rStyle w:val="normaltextrun"/>
        </w:rPr>
        <w:t xml:space="preserve">, which </w:t>
      </w:r>
      <w:r w:rsidRPr="00C1301C">
        <w:rPr>
          <w:rFonts w:ascii="Calibri" w:eastAsiaTheme="minorHAnsi" w:hAnsi="Calibri" w:cs="Calibri"/>
          <w:lang w:eastAsia="en-US"/>
        </w:rPr>
        <w:t xml:space="preserve">could result in future revisions to </w:t>
      </w:r>
      <w:hyperlink r:id="rId8" w:history="1">
        <w:r w:rsidRPr="00C1301C">
          <w:rPr>
            <w:rStyle w:val="Hyperlink"/>
            <w:rFonts w:ascii="Calibri" w:eastAsiaTheme="minorHAnsi" w:hAnsi="Calibri" w:cs="Calibri"/>
            <w:i/>
            <w:iCs/>
            <w:lang w:eastAsia="en-US"/>
          </w:rPr>
          <w:t>Introduction to Library of Congress Genre/Form Terms</w:t>
        </w:r>
      </w:hyperlink>
      <w:r w:rsidRPr="00C1301C">
        <w:rPr>
          <w:rFonts w:ascii="Calibri" w:eastAsiaTheme="minorHAnsi" w:hAnsi="Calibri" w:cs="Calibri"/>
          <w:lang w:eastAsia="en-US"/>
        </w:rPr>
        <w:t>.</w:t>
      </w:r>
      <w:r>
        <w:rPr>
          <w:rFonts w:ascii="Calibri" w:eastAsiaTheme="minorHAnsi" w:hAnsi="Calibri" w:cs="Calibri"/>
          <w:lang w:eastAsia="en-US"/>
        </w:rPr>
        <w:t xml:space="preserve"> </w:t>
      </w:r>
      <w:r w:rsidRPr="00C1301C">
        <w:rPr>
          <w:rFonts w:ascii="Calibri" w:eastAsiaTheme="minorHAnsi" w:hAnsi="Calibri" w:cs="Calibri"/>
          <w:lang w:eastAsia="en-US"/>
        </w:rPr>
        <w:t>This consideration stems, in part, from ongoing LCGFT discussions with external stakeholders</w:t>
      </w:r>
      <w:r>
        <w:rPr>
          <w:rFonts w:ascii="Calibri" w:eastAsiaTheme="minorHAnsi" w:hAnsi="Calibri" w:cs="Calibri"/>
          <w:lang w:eastAsia="en-US"/>
        </w:rPr>
        <w:t xml:space="preserve"> that began in November 2024</w:t>
      </w:r>
      <w:r w:rsidRPr="00C1301C">
        <w:rPr>
          <w:rFonts w:ascii="Calibri" w:eastAsiaTheme="minorHAnsi" w:hAnsi="Calibri" w:cs="Calibri"/>
          <w:lang w:eastAsia="en-US"/>
        </w:rPr>
        <w:t xml:space="preserve">, in particular regarding the </w:t>
      </w:r>
      <w:hyperlink r:id="rId9" w:history="1">
        <w:r w:rsidRPr="00A31D89">
          <w:rPr>
            <w:rStyle w:val="Hyperlink"/>
            <w:rFonts w:ascii="Calibri" w:eastAsiaTheme="minorHAnsi" w:hAnsi="Calibri" w:cs="Calibri"/>
            <w:i/>
            <w:iCs/>
            <w:lang w:eastAsia="en-US"/>
          </w:rPr>
          <w:t>Internet videos</w:t>
        </w:r>
      </w:hyperlink>
      <w:r w:rsidRPr="00C1301C">
        <w:rPr>
          <w:rFonts w:ascii="Calibri" w:eastAsiaTheme="minorHAnsi" w:hAnsi="Calibri" w:cs="Calibri"/>
          <w:lang w:eastAsia="en-US"/>
        </w:rPr>
        <w:t xml:space="preserve"> LCGFT.</w:t>
      </w:r>
      <w:r>
        <w:rPr>
          <w:rFonts w:ascii="Calibri" w:eastAsiaTheme="minorHAnsi" w:hAnsi="Calibri" w:cs="Calibri"/>
          <w:lang w:eastAsia="en-US"/>
        </w:rPr>
        <w:t xml:space="preserve"> </w:t>
      </w:r>
      <w:r w:rsidRPr="00F04E37">
        <w:rPr>
          <w:rFonts w:ascii="Calibri" w:eastAsiaTheme="minorHAnsi" w:hAnsi="Calibri" w:cs="Calibri"/>
          <w:lang w:eastAsia="en-US"/>
        </w:rPr>
        <w:t>Further action is TBD</w:t>
      </w:r>
      <w:r>
        <w:rPr>
          <w:rFonts w:ascii="Calibri" w:eastAsiaTheme="minorHAnsi" w:hAnsi="Calibri" w:cs="Calibri"/>
          <w:lang w:eastAsia="en-US"/>
        </w:rPr>
        <w:t>.</w:t>
      </w:r>
      <w:r w:rsidRPr="00F04E37">
        <w:rPr>
          <w:rFonts w:ascii="Calibri" w:eastAsiaTheme="minorHAnsi" w:hAnsi="Calibri" w:cs="Calibri"/>
          <w:lang w:eastAsia="en-US"/>
        </w:rPr>
        <w:t xml:space="preserve"> </w:t>
      </w:r>
    </w:p>
    <w:p w14:paraId="1869F4FB" w14:textId="4C5072AC" w:rsidR="00482B1C" w:rsidRPr="006226B0" w:rsidRDefault="00F04E37" w:rsidP="007C5CC6">
      <w:pPr>
        <w:pStyle w:val="NoSpacing"/>
        <w:numPr>
          <w:ilvl w:val="0"/>
          <w:numId w:val="2"/>
        </w:numPr>
        <w:rPr>
          <w:b/>
          <w:bCs/>
        </w:rPr>
      </w:pPr>
      <w:r>
        <w:rPr>
          <w:rStyle w:val="normaltextrun"/>
          <w:rFonts w:ascii="Calibri" w:hAnsi="Calibri" w:cs="Calibri"/>
          <w:color w:val="000000"/>
          <w:shd w:val="clear" w:color="auto" w:fill="FFFFFF"/>
        </w:rPr>
        <w:t xml:space="preserve">LCGFT training </w:t>
      </w:r>
      <w:r>
        <w:rPr>
          <w:rFonts w:ascii="Calibri" w:eastAsiaTheme="minorHAnsi" w:hAnsi="Calibri" w:cs="Calibri"/>
          <w:lang w:eastAsia="en-US"/>
        </w:rPr>
        <w:t xml:space="preserve">developed by </w:t>
      </w:r>
      <w:r w:rsidRPr="009403DD">
        <w:rPr>
          <w:rFonts w:ascii="Calibri" w:eastAsiaTheme="minorHAnsi" w:hAnsi="Calibri" w:cs="Calibri"/>
          <w:lang w:eastAsia="en-US"/>
        </w:rPr>
        <w:t>Cataloging Policy Specialists Dorie Kurtz and Amy Phillips</w:t>
      </w:r>
      <w:r w:rsidR="006226B0">
        <w:rPr>
          <w:rFonts w:ascii="Calibri" w:eastAsiaTheme="minorHAnsi" w:hAnsi="Calibri" w:cs="Calibri"/>
          <w:lang w:eastAsia="en-US"/>
        </w:rPr>
        <w:t xml:space="preserve"> (co-chairs)</w:t>
      </w:r>
      <w:r>
        <w:rPr>
          <w:rFonts w:ascii="Calibri" w:eastAsiaTheme="minorHAnsi" w:hAnsi="Calibri" w:cs="Calibri"/>
          <w:lang w:eastAsia="en-US"/>
        </w:rPr>
        <w:t xml:space="preserve"> for the library community is expected to be released in 2025.</w:t>
      </w:r>
      <w:r w:rsidR="00B6679B">
        <w:t xml:space="preserve"> </w:t>
      </w:r>
    </w:p>
    <w:p w14:paraId="1482DB96" w14:textId="6994A78B" w:rsidR="006226B0" w:rsidRPr="00264DEB" w:rsidRDefault="006226B0" w:rsidP="007C5CC6">
      <w:pPr>
        <w:pStyle w:val="NoSpacing"/>
        <w:numPr>
          <w:ilvl w:val="0"/>
          <w:numId w:val="2"/>
        </w:numPr>
        <w:rPr>
          <w:rStyle w:val="normaltextrun"/>
          <w:b/>
          <w:bCs/>
        </w:rPr>
      </w:pPr>
      <w:hyperlink r:id="rId10" w:history="1">
        <w:r w:rsidRPr="00264DEB">
          <w:rPr>
            <w:rStyle w:val="Hyperlink"/>
            <w:rFonts w:ascii="Calibri" w:hAnsi="Calibri" w:cs="Calibri"/>
            <w:shd w:val="clear" w:color="auto" w:fill="FFFFFF"/>
          </w:rPr>
          <w:t>LCGFT Manual instruction sheets</w:t>
        </w:r>
      </w:hyperlink>
      <w:r w:rsidRPr="006226B0">
        <w:rPr>
          <w:rStyle w:val="normaltextrun"/>
          <w:rFonts w:ascii="Calibri" w:hAnsi="Calibri" w:cs="Calibri"/>
          <w:color w:val="000000"/>
          <w:shd w:val="clear" w:color="auto" w:fill="FFFFFF"/>
        </w:rPr>
        <w:t xml:space="preserve"> are in the process of being updated using </w:t>
      </w:r>
      <w:r w:rsidR="00264DEB">
        <w:rPr>
          <w:rStyle w:val="normaltextrun"/>
          <w:rFonts w:ascii="Calibri" w:hAnsi="Calibri" w:cs="Calibri"/>
          <w:color w:val="000000"/>
          <w:shd w:val="clear" w:color="auto" w:fill="FFFFFF"/>
        </w:rPr>
        <w:t>a</w:t>
      </w:r>
      <w:r w:rsidRPr="006226B0">
        <w:rPr>
          <w:rStyle w:val="normaltextrun"/>
          <w:rFonts w:ascii="Calibri" w:hAnsi="Calibri" w:cs="Calibri"/>
          <w:color w:val="000000"/>
          <w:shd w:val="clear" w:color="auto" w:fill="FFFFFF"/>
        </w:rPr>
        <w:t xml:space="preserve"> new template for improved accessibility</w:t>
      </w:r>
      <w:r>
        <w:rPr>
          <w:rStyle w:val="normaltextrun"/>
          <w:rFonts w:ascii="Calibri" w:hAnsi="Calibri" w:cs="Calibri"/>
          <w:color w:val="000000"/>
          <w:shd w:val="clear" w:color="auto" w:fill="FFFFFF"/>
        </w:rPr>
        <w:t xml:space="preserve">. </w:t>
      </w:r>
    </w:p>
    <w:p w14:paraId="75815C2F" w14:textId="6A4E0661" w:rsidR="00264DEB" w:rsidRPr="00711BDC" w:rsidRDefault="00264DEB" w:rsidP="00711BDC">
      <w:pPr>
        <w:pStyle w:val="NoSpacing"/>
        <w:numPr>
          <w:ilvl w:val="0"/>
          <w:numId w:val="2"/>
        </w:numPr>
        <w:rPr>
          <w:b/>
          <w:bCs/>
        </w:rPr>
      </w:pPr>
      <w:r>
        <w:rPr>
          <w:rStyle w:val="normaltextrun"/>
          <w:rFonts w:ascii="Calibri" w:hAnsi="Calibri" w:cs="Calibri"/>
          <w:color w:val="000000"/>
          <w:shd w:val="clear" w:color="auto" w:fill="FFFFFF"/>
        </w:rPr>
        <w:t xml:space="preserve">LC </w:t>
      </w:r>
      <w:r w:rsidRPr="00264DEB">
        <w:rPr>
          <w:rStyle w:val="normaltextrun"/>
          <w:rFonts w:ascii="Calibri" w:hAnsi="Calibri" w:cs="Calibri"/>
          <w:color w:val="000000"/>
          <w:shd w:val="clear" w:color="auto" w:fill="FFFFFF"/>
        </w:rPr>
        <w:t>and outside partners are currently working on a project to rectify issues related to the way LCGFT, LCC, and LCSH treat dance.</w:t>
      </w:r>
      <w:r>
        <w:rPr>
          <w:rStyle w:val="normaltextrun"/>
          <w:rFonts w:ascii="Calibri" w:hAnsi="Calibri" w:cs="Calibri"/>
          <w:color w:val="000000"/>
          <w:shd w:val="clear" w:color="auto" w:fill="FFFFFF"/>
        </w:rPr>
        <w:t xml:space="preserve"> I</w:t>
      </w:r>
      <w:r w:rsidRPr="00264DEB">
        <w:rPr>
          <w:rStyle w:val="normaltextrun"/>
          <w:rFonts w:ascii="Calibri" w:hAnsi="Calibri" w:cs="Calibri"/>
          <w:color w:val="000000"/>
          <w:shd w:val="clear" w:color="auto" w:fill="FFFFFF"/>
        </w:rPr>
        <w:t>f your library has a significant collection of dance-related materials and you would be willing to help, please contact Dominique Bourassa</w:t>
      </w:r>
      <w:r>
        <w:rPr>
          <w:rStyle w:val="normaltextrun"/>
          <w:rFonts w:ascii="Calibri" w:hAnsi="Calibri" w:cs="Calibri"/>
          <w:color w:val="000000"/>
          <w:shd w:val="clear" w:color="auto" w:fill="FFFFFF"/>
        </w:rPr>
        <w:t xml:space="preserve"> at </w:t>
      </w:r>
      <w:hyperlink r:id="rId11" w:history="1">
        <w:r w:rsidR="00711BDC" w:rsidRPr="00741C8A">
          <w:rPr>
            <w:rStyle w:val="Hyperlink"/>
            <w:rFonts w:ascii="Calibri" w:hAnsi="Calibri" w:cs="Calibri"/>
            <w:shd w:val="clear" w:color="auto" w:fill="FFFFFF"/>
          </w:rPr>
          <w:t>dominique.bourassa@yale.edu</w:t>
        </w:r>
      </w:hyperlink>
      <w:r w:rsidR="00711BDC">
        <w:rPr>
          <w:rStyle w:val="normaltextrun"/>
          <w:b/>
          <w:bCs/>
        </w:rPr>
        <w:t xml:space="preserve"> </w:t>
      </w:r>
      <w:r w:rsidR="00711BDC" w:rsidRPr="00711BDC">
        <w:rPr>
          <w:rStyle w:val="normaltextrun"/>
          <w:rFonts w:ascii="Calibri" w:hAnsi="Calibri" w:cs="Calibri"/>
          <w:color w:val="000000"/>
          <w:shd w:val="clear" w:color="auto" w:fill="FFFFFF"/>
        </w:rPr>
        <w:t xml:space="preserve">to </w:t>
      </w:r>
      <w:r w:rsidR="006A4CD8">
        <w:rPr>
          <w:rStyle w:val="normaltextrun"/>
          <w:rFonts w:ascii="Calibri" w:hAnsi="Calibri" w:cs="Calibri"/>
          <w:color w:val="000000"/>
          <w:shd w:val="clear" w:color="auto" w:fill="FFFFFF"/>
        </w:rPr>
        <w:t>express your</w:t>
      </w:r>
      <w:r w:rsidR="00711BDC" w:rsidRPr="00711BDC">
        <w:rPr>
          <w:rStyle w:val="normaltextrun"/>
          <w:rFonts w:ascii="Calibri" w:hAnsi="Calibri" w:cs="Calibri"/>
          <w:color w:val="000000"/>
          <w:shd w:val="clear" w:color="auto" w:fill="FFFFFF"/>
        </w:rPr>
        <w:t xml:space="preserve"> interest</w:t>
      </w:r>
      <w:r w:rsidR="006A4CD8">
        <w:rPr>
          <w:rStyle w:val="normaltextrun"/>
          <w:rFonts w:ascii="Calibri" w:hAnsi="Calibri" w:cs="Calibri"/>
          <w:color w:val="000000"/>
          <w:shd w:val="clear" w:color="auto" w:fill="FFFFFF"/>
        </w:rPr>
        <w:t xml:space="preserve"> </w:t>
      </w:r>
      <w:r w:rsidR="00711BDC" w:rsidRPr="00711BDC">
        <w:rPr>
          <w:rStyle w:val="normaltextrun"/>
          <w:rFonts w:ascii="Calibri" w:hAnsi="Calibri" w:cs="Calibri"/>
          <w:color w:val="000000"/>
          <w:shd w:val="clear" w:color="auto" w:fill="FFFFFF"/>
        </w:rPr>
        <w:t>in participating</w:t>
      </w:r>
      <w:r w:rsidR="00711BDC">
        <w:rPr>
          <w:rStyle w:val="normaltextrun"/>
          <w:rFonts w:ascii="Calibri" w:hAnsi="Calibri" w:cs="Calibri"/>
          <w:color w:val="000000"/>
          <w:shd w:val="clear" w:color="auto" w:fill="FFFFFF"/>
        </w:rPr>
        <w:t>.</w:t>
      </w:r>
    </w:p>
    <w:p w14:paraId="3DF07237" w14:textId="77777777" w:rsidR="003057B8" w:rsidRPr="003057B8" w:rsidRDefault="003057B8" w:rsidP="00D2698E">
      <w:pPr>
        <w:pStyle w:val="NoSpacing"/>
        <w:spacing w:line="168" w:lineRule="auto"/>
        <w:ind w:left="1446"/>
        <w:rPr>
          <w:b/>
          <w:bCs/>
        </w:rPr>
      </w:pPr>
    </w:p>
    <w:p w14:paraId="7E024E13" w14:textId="1AC76ADE" w:rsidR="003B6100" w:rsidRDefault="000456E3" w:rsidP="00D2698E">
      <w:pPr>
        <w:pStyle w:val="NoSpacing"/>
        <w:spacing w:line="168" w:lineRule="auto"/>
        <w:ind w:left="720"/>
        <w:rPr>
          <w:b/>
          <w:bCs/>
          <w:sz w:val="24"/>
          <w:szCs w:val="24"/>
        </w:rPr>
      </w:pPr>
      <w:r>
        <w:rPr>
          <w:b/>
          <w:bCs/>
          <w:sz w:val="24"/>
          <w:szCs w:val="24"/>
        </w:rPr>
        <w:t>Library of Congress Subject Headings (LCSH)</w:t>
      </w:r>
    </w:p>
    <w:p w14:paraId="6EA080CE" w14:textId="5C9BFD07" w:rsidR="00B819E2" w:rsidRPr="00B819E2" w:rsidRDefault="0051662F" w:rsidP="00B819E2">
      <w:pPr>
        <w:pStyle w:val="ListParagraph"/>
        <w:numPr>
          <w:ilvl w:val="0"/>
          <w:numId w:val="2"/>
        </w:numPr>
        <w:spacing w:after="0" w:line="240" w:lineRule="auto"/>
        <w:rPr>
          <w:rFonts w:cstheme="minorHAnsi"/>
        </w:rPr>
      </w:pPr>
      <w:r>
        <w:rPr>
          <w:rFonts w:ascii="Calibri" w:eastAsiaTheme="minorHAnsi" w:hAnsi="Calibri" w:cs="Calibri"/>
          <w:lang w:eastAsia="en-US"/>
        </w:rPr>
        <w:t xml:space="preserve">Subject Headings Manual </w:t>
      </w:r>
      <w:r w:rsidR="0006349B">
        <w:rPr>
          <w:rFonts w:ascii="Calibri" w:eastAsiaTheme="minorHAnsi" w:hAnsi="Calibri" w:cs="Calibri"/>
          <w:lang w:eastAsia="en-US"/>
        </w:rPr>
        <w:t xml:space="preserve">instruction sheet </w:t>
      </w:r>
      <w:hyperlink r:id="rId12" w:history="1">
        <w:r w:rsidR="00B819E2" w:rsidRPr="00B819E2">
          <w:rPr>
            <w:rStyle w:val="Hyperlink"/>
            <w:rFonts w:ascii="Calibri" w:eastAsiaTheme="minorHAnsi" w:hAnsi="Calibri" w:cs="Calibri"/>
            <w:lang w:eastAsia="en-US"/>
          </w:rPr>
          <w:t>H 2230</w:t>
        </w:r>
      </w:hyperlink>
      <w:r w:rsidR="00B819E2">
        <w:rPr>
          <w:rFonts w:ascii="Calibri" w:eastAsiaTheme="minorHAnsi" w:hAnsi="Calibri" w:cs="Calibri"/>
          <w:lang w:eastAsia="en-US"/>
        </w:rPr>
        <w:t xml:space="preserve"> </w:t>
      </w:r>
      <w:r w:rsidR="00B819E2">
        <w:rPr>
          <w:rFonts w:ascii="Calibri" w:eastAsiaTheme="minorHAnsi" w:hAnsi="Calibri" w:cs="Calibri"/>
          <w:i/>
          <w:iCs/>
          <w:lang w:eastAsia="en-US"/>
        </w:rPr>
        <w:t>Visual Materials</w:t>
      </w:r>
      <w:r w:rsidR="00B819E2">
        <w:rPr>
          <w:rFonts w:ascii="Calibri" w:eastAsiaTheme="minorHAnsi" w:hAnsi="Calibri" w:cs="Calibri"/>
          <w:lang w:eastAsia="en-US"/>
        </w:rPr>
        <w:t xml:space="preserve"> </w:t>
      </w:r>
      <w:r w:rsidR="00B819E2">
        <w:rPr>
          <w:rFonts w:ascii="Calibri" w:eastAsiaTheme="minorHAnsi" w:hAnsi="Calibri" w:cs="Calibri"/>
          <w:i/>
          <w:iCs/>
          <w:lang w:eastAsia="en-US"/>
        </w:rPr>
        <w:t>and Non-Music Sound Recordings</w:t>
      </w:r>
      <w:r>
        <w:rPr>
          <w:rFonts w:ascii="Calibri" w:eastAsiaTheme="minorHAnsi" w:hAnsi="Calibri" w:cs="Calibri"/>
          <w:lang w:eastAsia="en-US"/>
        </w:rPr>
        <w:t xml:space="preserve"> was added to PTCP’s list of </w:t>
      </w:r>
      <w:r w:rsidR="007B0522">
        <w:rPr>
          <w:rFonts w:ascii="Calibri" w:eastAsiaTheme="minorHAnsi" w:hAnsi="Calibri" w:cs="Calibri"/>
          <w:lang w:eastAsia="en-US"/>
        </w:rPr>
        <w:t xml:space="preserve">instruction sheets to be updated to correct an error in section 4 </w:t>
      </w:r>
      <w:r w:rsidR="007B0522" w:rsidRPr="007B0522">
        <w:rPr>
          <w:rFonts w:ascii="Calibri" w:eastAsiaTheme="minorHAnsi" w:hAnsi="Calibri" w:cs="Calibri"/>
          <w:i/>
          <w:iCs/>
          <w:lang w:eastAsia="en-US"/>
        </w:rPr>
        <w:t>Special types of visual materials</w:t>
      </w:r>
      <w:r w:rsidR="007B0522">
        <w:rPr>
          <w:rFonts w:ascii="Calibri" w:eastAsiaTheme="minorHAnsi" w:hAnsi="Calibri" w:cs="Calibri"/>
          <w:lang w:eastAsia="en-US"/>
        </w:rPr>
        <w:t xml:space="preserve"> for the subdivision </w:t>
      </w:r>
      <w:r w:rsidR="007B0522" w:rsidRPr="007B0522">
        <w:rPr>
          <w:rFonts w:ascii="Calibri" w:eastAsiaTheme="minorHAnsi" w:hAnsi="Calibri" w:cs="Calibri"/>
          <w:b/>
          <w:bCs/>
          <w:lang w:eastAsia="en-US"/>
        </w:rPr>
        <w:t>–Juvenile films</w:t>
      </w:r>
      <w:r w:rsidR="007B0522">
        <w:rPr>
          <w:rFonts w:ascii="Calibri" w:eastAsiaTheme="minorHAnsi" w:hAnsi="Calibri" w:cs="Calibri"/>
          <w:lang w:eastAsia="en-US"/>
        </w:rPr>
        <w:t xml:space="preserve">. The error directs the use of </w:t>
      </w:r>
      <w:r w:rsidR="007B0522" w:rsidRPr="007B0522">
        <w:rPr>
          <w:rFonts w:ascii="Calibri" w:eastAsiaTheme="minorHAnsi" w:hAnsi="Calibri" w:cs="Calibri"/>
          <w:b/>
          <w:bCs/>
          <w:lang w:eastAsia="en-US"/>
        </w:rPr>
        <w:t>–Juvenile films</w:t>
      </w:r>
      <w:r w:rsidR="007B0522">
        <w:rPr>
          <w:rFonts w:ascii="Calibri" w:eastAsiaTheme="minorHAnsi" w:hAnsi="Calibri" w:cs="Calibri"/>
          <w:lang w:eastAsia="en-US"/>
        </w:rPr>
        <w:t xml:space="preserve"> for fiction films for juveniles, </w:t>
      </w:r>
      <w:r w:rsidR="0056630C">
        <w:rPr>
          <w:rFonts w:ascii="Calibri" w:eastAsiaTheme="minorHAnsi" w:hAnsi="Calibri" w:cs="Calibri"/>
          <w:lang w:eastAsia="en-US"/>
        </w:rPr>
        <w:t xml:space="preserve">which conflicts with the </w:t>
      </w:r>
      <w:r w:rsidR="0056630C" w:rsidRPr="007B0522">
        <w:rPr>
          <w:rFonts w:ascii="Calibri" w:eastAsiaTheme="minorHAnsi" w:hAnsi="Calibri" w:cs="Calibri"/>
          <w:b/>
          <w:bCs/>
          <w:lang w:eastAsia="en-US"/>
        </w:rPr>
        <w:t>–Juvenile films</w:t>
      </w:r>
      <w:r w:rsidR="007B0522">
        <w:rPr>
          <w:rFonts w:ascii="Calibri" w:eastAsiaTheme="minorHAnsi" w:hAnsi="Calibri" w:cs="Calibri"/>
          <w:lang w:eastAsia="en-US"/>
        </w:rPr>
        <w:t xml:space="preserve"> </w:t>
      </w:r>
      <w:hyperlink r:id="rId13" w:history="1">
        <w:r w:rsidR="0056630C" w:rsidRPr="00A31D89">
          <w:rPr>
            <w:rStyle w:val="Hyperlink"/>
            <w:rFonts w:ascii="Calibri" w:eastAsiaTheme="minorHAnsi" w:hAnsi="Calibri" w:cs="Calibri"/>
            <w:lang w:eastAsia="en-US"/>
          </w:rPr>
          <w:t>scope note</w:t>
        </w:r>
      </w:hyperlink>
      <w:r w:rsidR="0056630C">
        <w:rPr>
          <w:rFonts w:ascii="Calibri" w:eastAsiaTheme="minorHAnsi" w:hAnsi="Calibri" w:cs="Calibri"/>
          <w:lang w:eastAsia="en-US"/>
        </w:rPr>
        <w:t xml:space="preserve"> (i.e., </w:t>
      </w:r>
      <w:r w:rsidR="0056630C">
        <w:rPr>
          <w:i/>
          <w:iCs/>
        </w:rPr>
        <w:t xml:space="preserve">Use as a form subdivision under subjects for </w:t>
      </w:r>
      <w:r w:rsidR="0056630C">
        <w:rPr>
          <w:b/>
          <w:bCs/>
          <w:i/>
          <w:iCs/>
          <w:u w:val="single"/>
        </w:rPr>
        <w:t>nonfiction films</w:t>
      </w:r>
      <w:r w:rsidR="0056630C">
        <w:rPr>
          <w:i/>
          <w:iCs/>
        </w:rPr>
        <w:t xml:space="preserve"> produced especially for children</w:t>
      </w:r>
      <w:r w:rsidR="0056630C">
        <w:t xml:space="preserve">). </w:t>
      </w:r>
      <w:r w:rsidR="000315FC">
        <w:t xml:space="preserve">H 2230 will be updated to ensure its directions for the subdivision </w:t>
      </w:r>
      <w:r w:rsidR="000315FC">
        <w:rPr>
          <w:b/>
          <w:bCs/>
        </w:rPr>
        <w:t>–Juvenile films</w:t>
      </w:r>
      <w:r w:rsidR="000315FC">
        <w:t xml:space="preserve"> </w:t>
      </w:r>
      <w:r w:rsidR="00FF6F4C">
        <w:t xml:space="preserve">is in alignment with the subdivision’s scope note. (Note: The subdivision </w:t>
      </w:r>
      <w:r w:rsidR="00FF6F4C">
        <w:rPr>
          <w:b/>
          <w:bCs/>
        </w:rPr>
        <w:t>–Juvenile drama</w:t>
      </w:r>
      <w:r w:rsidR="00FF6F4C">
        <w:t xml:space="preserve"> is what should be used for </w:t>
      </w:r>
      <w:r w:rsidR="00FF6F4C">
        <w:rPr>
          <w:rFonts w:ascii="Calibri" w:eastAsiaTheme="minorHAnsi" w:hAnsi="Calibri" w:cs="Calibri"/>
          <w:lang w:eastAsia="en-US"/>
        </w:rPr>
        <w:t>fiction films for juveniles)</w:t>
      </w:r>
    </w:p>
    <w:p w14:paraId="6CD7AE28" w14:textId="013BDF98" w:rsidR="00017BEB" w:rsidRPr="00C23D28" w:rsidRDefault="009D595E" w:rsidP="007C5CC6">
      <w:pPr>
        <w:pStyle w:val="ListParagraph"/>
        <w:numPr>
          <w:ilvl w:val="0"/>
          <w:numId w:val="2"/>
        </w:numPr>
        <w:spacing w:after="0" w:line="240" w:lineRule="auto"/>
        <w:rPr>
          <w:rFonts w:cstheme="minorHAnsi"/>
        </w:rPr>
      </w:pPr>
      <w:r>
        <w:t xml:space="preserve">In December 2024, </w:t>
      </w:r>
      <w:r w:rsidRPr="00A108B0">
        <w:rPr>
          <w:rFonts w:ascii="Calibri" w:eastAsiaTheme="minorHAnsi" w:hAnsi="Calibri" w:cs="Calibri"/>
          <w:lang w:eastAsia="en-US"/>
        </w:rPr>
        <w:t xml:space="preserve">PTCP </w:t>
      </w:r>
      <w:hyperlink r:id="rId14" w:history="1">
        <w:r w:rsidRPr="00A108B0">
          <w:rPr>
            <w:rStyle w:val="Hyperlink"/>
            <w:rFonts w:ascii="Calibri" w:eastAsiaTheme="minorHAnsi" w:hAnsi="Calibri" w:cs="Calibri"/>
            <w:lang w:eastAsia="en-US"/>
          </w:rPr>
          <w:t>announced</w:t>
        </w:r>
      </w:hyperlink>
      <w:r w:rsidRPr="00A108B0">
        <w:rPr>
          <w:rFonts w:ascii="Calibri" w:eastAsiaTheme="minorHAnsi" w:hAnsi="Calibri" w:cs="Calibri"/>
          <w:lang w:eastAsia="en-US"/>
        </w:rPr>
        <w:t xml:space="preserve"> it has started to update </w:t>
      </w:r>
      <w:hyperlink r:id="rId15" w:history="1">
        <w:r w:rsidRPr="00F01AB1">
          <w:rPr>
            <w:rStyle w:val="Hyperlink"/>
            <w:rFonts w:ascii="Calibri" w:eastAsiaTheme="minorHAnsi" w:hAnsi="Calibri" w:cs="Calibri"/>
            <w:lang w:eastAsia="en-US"/>
          </w:rPr>
          <w:t>Subject Headings Manual instruction sheets</w:t>
        </w:r>
      </w:hyperlink>
      <w:r w:rsidRPr="00A108B0">
        <w:rPr>
          <w:rFonts w:ascii="Calibri" w:eastAsiaTheme="minorHAnsi" w:hAnsi="Calibri" w:cs="Calibri"/>
          <w:lang w:eastAsia="en-US"/>
        </w:rPr>
        <w:t xml:space="preserve"> to a new template to improve accessibility. As updates are made to an instruction sheet, that instruction sheet will be updated to the new template. As time and workload allows, instruction sheets that do not require updates to their text will also be updated to the template without announcement. Unfortunately, this does mean that two different formats will exist in the SHM PDF files until this process is completed.</w:t>
      </w:r>
    </w:p>
    <w:p w14:paraId="46E3AFB5" w14:textId="04160532" w:rsidR="00C23D28" w:rsidRPr="009D595E" w:rsidRDefault="009D595E" w:rsidP="007C5CC6">
      <w:pPr>
        <w:pStyle w:val="ListParagraph"/>
        <w:numPr>
          <w:ilvl w:val="0"/>
          <w:numId w:val="2"/>
        </w:numPr>
        <w:spacing w:after="0" w:line="240" w:lineRule="auto"/>
        <w:rPr>
          <w:rFonts w:cstheme="minorHAnsi"/>
        </w:rPr>
      </w:pPr>
      <w:r>
        <w:rPr>
          <w:rStyle w:val="eop"/>
          <w:rFonts w:cstheme="minorHAnsi"/>
        </w:rPr>
        <w:t xml:space="preserve">Work with </w:t>
      </w:r>
      <w:r w:rsidRPr="00C1301C">
        <w:rPr>
          <w:rFonts w:ascii="Calibri" w:eastAsiaTheme="minorHAnsi" w:hAnsi="Calibri" w:cs="Calibri"/>
          <w:lang w:eastAsia="en-US"/>
        </w:rPr>
        <w:t xml:space="preserve">the library community on transparency and inclusiveness in handling of subject proposals continues. On September 20, 2024, the </w:t>
      </w:r>
      <w:hyperlink r:id="rId16" w:history="1">
        <w:r w:rsidRPr="00C1301C">
          <w:rPr>
            <w:rStyle w:val="Hyperlink"/>
            <w:rFonts w:ascii="Calibri" w:eastAsiaTheme="minorHAnsi" w:hAnsi="Calibri" w:cs="Calibri"/>
            <w:lang w:eastAsia="en-US"/>
          </w:rPr>
          <w:t>first</w:t>
        </w:r>
      </w:hyperlink>
      <w:r w:rsidRPr="00C1301C">
        <w:rPr>
          <w:rFonts w:ascii="Calibri" w:eastAsiaTheme="minorHAnsi" w:hAnsi="Calibri" w:cs="Calibri"/>
          <w:lang w:eastAsia="en-US"/>
        </w:rPr>
        <w:t xml:space="preserve"> quarterly </w:t>
      </w:r>
      <w:hyperlink r:id="rId17" w:history="1">
        <w:r w:rsidRPr="00C1301C">
          <w:rPr>
            <w:rStyle w:val="Hyperlink"/>
            <w:rFonts w:ascii="Calibri" w:eastAsiaTheme="minorHAnsi" w:hAnsi="Calibri" w:cs="Calibri"/>
            <w:lang w:eastAsia="en-US"/>
          </w:rPr>
          <w:t>Subject Editorial</w:t>
        </w:r>
      </w:hyperlink>
      <w:r w:rsidRPr="00C1301C">
        <w:rPr>
          <w:rFonts w:ascii="Calibri" w:eastAsiaTheme="minorHAnsi" w:hAnsi="Calibri" w:cs="Calibri"/>
          <w:lang w:eastAsia="en-US"/>
        </w:rPr>
        <w:t xml:space="preserve"> meeting was held with 99 participants. The first quarterly Subject Editorial meeting of 2025 was held on January 17.</w:t>
      </w:r>
      <w:r w:rsidR="000B0969">
        <w:rPr>
          <w:rFonts w:ascii="Calibri" w:eastAsiaTheme="minorHAnsi" w:hAnsi="Calibri" w:cs="Calibri"/>
          <w:lang w:eastAsia="en-US"/>
        </w:rPr>
        <w:t xml:space="preserve"> </w:t>
      </w:r>
    </w:p>
    <w:p w14:paraId="3AC1448D" w14:textId="29683FFF" w:rsidR="009D595E" w:rsidRPr="00C815B6" w:rsidRDefault="00C815B6" w:rsidP="009D595E">
      <w:pPr>
        <w:pStyle w:val="ListParagraph"/>
        <w:numPr>
          <w:ilvl w:val="1"/>
          <w:numId w:val="2"/>
        </w:numPr>
        <w:spacing w:after="0" w:line="240" w:lineRule="auto"/>
        <w:rPr>
          <w:rFonts w:cstheme="minorHAnsi"/>
        </w:rPr>
      </w:pPr>
      <w:r w:rsidRPr="00C1301C">
        <w:rPr>
          <w:rFonts w:ascii="Calibri" w:eastAsiaTheme="minorHAnsi" w:hAnsi="Calibri" w:cs="Calibri"/>
          <w:lang w:eastAsia="en-US"/>
        </w:rPr>
        <w:lastRenderedPageBreak/>
        <w:t>For the quarterly Subject Editorial meetings, any topic related to a currently open monthly list will be available for discussion.</w:t>
      </w:r>
    </w:p>
    <w:p w14:paraId="6BFB91DB" w14:textId="44BD27DD" w:rsidR="00C815B6" w:rsidRPr="000B0969" w:rsidRDefault="00C815B6" w:rsidP="009D595E">
      <w:pPr>
        <w:pStyle w:val="ListParagraph"/>
        <w:numPr>
          <w:ilvl w:val="1"/>
          <w:numId w:val="2"/>
        </w:numPr>
        <w:spacing w:after="0" w:line="240" w:lineRule="auto"/>
        <w:rPr>
          <w:rFonts w:cstheme="minorHAnsi"/>
        </w:rPr>
      </w:pPr>
      <w:r w:rsidRPr="00C815B6">
        <w:rPr>
          <w:rFonts w:cstheme="minorHAnsi"/>
        </w:rPr>
        <w:t>In the month following the quarterly Subject Editorial meeting, PTCP holds an Office Hours meeting.</w:t>
      </w:r>
      <w:r>
        <w:rPr>
          <w:rFonts w:cstheme="minorHAnsi"/>
        </w:rPr>
        <w:t xml:space="preserve"> </w:t>
      </w:r>
      <w:r w:rsidRPr="00C1301C">
        <w:rPr>
          <w:rFonts w:ascii="Calibri" w:eastAsiaTheme="minorHAnsi" w:hAnsi="Calibri" w:cs="Calibri"/>
          <w:lang w:eastAsia="en-US"/>
        </w:rPr>
        <w:t>For Office Hours meetings, any topic related to general subject or classification policy, or assistance in developing a proposal to submit for a list, will be open for discussion.</w:t>
      </w:r>
    </w:p>
    <w:p w14:paraId="245FCC5F" w14:textId="276FB28C" w:rsidR="000B0969" w:rsidRPr="008E2CE1" w:rsidRDefault="000B0969" w:rsidP="009D595E">
      <w:pPr>
        <w:pStyle w:val="ListParagraph"/>
        <w:numPr>
          <w:ilvl w:val="1"/>
          <w:numId w:val="2"/>
        </w:numPr>
        <w:spacing w:after="0" w:line="240" w:lineRule="auto"/>
        <w:rPr>
          <w:rFonts w:cstheme="minorHAnsi"/>
        </w:rPr>
      </w:pPr>
      <w:r>
        <w:rPr>
          <w:rFonts w:ascii="Calibri" w:eastAsiaTheme="minorHAnsi" w:hAnsi="Calibri" w:cs="Calibri"/>
          <w:lang w:eastAsia="en-US"/>
        </w:rPr>
        <w:t xml:space="preserve">Dates and times for the 2025 Subject Editorial meetings and the Office Hours meetings are available on the </w:t>
      </w:r>
      <w:hyperlink r:id="rId18" w:history="1">
        <w:r w:rsidRPr="000B0969">
          <w:rPr>
            <w:rStyle w:val="Hyperlink"/>
            <w:rFonts w:ascii="Calibri" w:eastAsiaTheme="minorHAnsi" w:hAnsi="Calibri" w:cs="Calibri"/>
            <w:lang w:eastAsia="en-US"/>
          </w:rPr>
          <w:t>SACO Calendar</w:t>
        </w:r>
      </w:hyperlink>
      <w:r>
        <w:rPr>
          <w:rFonts w:ascii="Calibri" w:eastAsiaTheme="minorHAnsi" w:hAnsi="Calibri" w:cs="Calibri"/>
          <w:lang w:eastAsia="en-US"/>
        </w:rPr>
        <w:t xml:space="preserve">. </w:t>
      </w:r>
    </w:p>
    <w:p w14:paraId="311181C2" w14:textId="77777777" w:rsidR="008E2CE1" w:rsidRPr="008E2CE1" w:rsidRDefault="008E2CE1" w:rsidP="008E2CE1">
      <w:pPr>
        <w:pStyle w:val="ListParagraph"/>
        <w:numPr>
          <w:ilvl w:val="0"/>
          <w:numId w:val="2"/>
        </w:numPr>
        <w:spacing w:after="0" w:line="240" w:lineRule="auto"/>
        <w:rPr>
          <w:rFonts w:cstheme="minorHAnsi"/>
        </w:rPr>
      </w:pPr>
      <w:r>
        <w:rPr>
          <w:rFonts w:ascii="Calibri" w:eastAsiaTheme="minorHAnsi" w:hAnsi="Calibri" w:cs="Calibri"/>
          <w:lang w:eastAsia="en-US"/>
        </w:rPr>
        <w:t>Since assuming the Program Specialist (</w:t>
      </w:r>
      <w:r w:rsidRPr="00AD22B1">
        <w:rPr>
          <w:rFonts w:ascii="Calibri" w:eastAsiaTheme="minorHAnsi" w:hAnsi="Calibri" w:cs="Calibri"/>
          <w:lang w:eastAsia="en-US"/>
        </w:rPr>
        <w:t>Indigenous Peoples</w:t>
      </w:r>
      <w:r>
        <w:rPr>
          <w:rFonts w:ascii="Calibri" w:eastAsiaTheme="minorHAnsi" w:hAnsi="Calibri" w:cs="Calibri"/>
          <w:lang w:eastAsia="en-US"/>
        </w:rPr>
        <w:t xml:space="preserve">) position, </w:t>
      </w:r>
      <w:r w:rsidRPr="00AD22B1">
        <w:rPr>
          <w:rFonts w:ascii="Calibri" w:eastAsiaTheme="minorHAnsi" w:hAnsi="Calibri" w:cs="Calibri"/>
          <w:lang w:eastAsia="en-US"/>
        </w:rPr>
        <w:t>Sarah Kostelecky</w:t>
      </w:r>
      <w:r>
        <w:rPr>
          <w:rFonts w:ascii="Calibri" w:eastAsiaTheme="minorHAnsi" w:hAnsi="Calibri" w:cs="Calibri"/>
          <w:lang w:eastAsia="en-US"/>
        </w:rPr>
        <w:t xml:space="preserve"> has developed a plan to update, correct, or confirm tribal name LCSH headings. Initially, Sarah is focused on engaging with the 23 tribes and pueblos in New Mexico, and these efforts should enable Sarah to develop a broad pattern for LC as it engages with tribes in other states. Sarah is sharing information about the LC Evaluation of Headings for Indigenous Peoples </w:t>
      </w:r>
      <w:hyperlink r:id="rId19" w:history="1">
        <w:r w:rsidRPr="00D5140E">
          <w:rPr>
            <w:rStyle w:val="Hyperlink"/>
            <w:rFonts w:ascii="Calibri" w:eastAsiaTheme="minorHAnsi" w:hAnsi="Calibri" w:cs="Calibri"/>
            <w:lang w:eastAsia="en-US"/>
          </w:rPr>
          <w:t>project</w:t>
        </w:r>
      </w:hyperlink>
      <w:r>
        <w:rPr>
          <w:rFonts w:ascii="Calibri" w:eastAsiaTheme="minorHAnsi" w:hAnsi="Calibri" w:cs="Calibri"/>
          <w:lang w:eastAsia="en-US"/>
        </w:rPr>
        <w:t xml:space="preserve"> with relevant stakeholders, including tribal librarians and archivists, in New Mexico. In November 2024, Sarah and PTCP Cataloging Policy Specialist Heidy Berthoud presented at the </w:t>
      </w:r>
      <w:hyperlink r:id="rId20" w:history="1">
        <w:r w:rsidRPr="00EA7694">
          <w:rPr>
            <w:rStyle w:val="Hyperlink"/>
            <w:rFonts w:ascii="Calibri" w:eastAsiaTheme="minorHAnsi" w:hAnsi="Calibri" w:cs="Calibri"/>
            <w:lang w:eastAsia="en-US"/>
          </w:rPr>
          <w:t>2024 International Conference of Indigenous Archives, Libraries, and Museums</w:t>
        </w:r>
      </w:hyperlink>
      <w:r>
        <w:rPr>
          <w:rFonts w:ascii="Calibri" w:eastAsiaTheme="minorHAnsi" w:hAnsi="Calibri" w:cs="Calibri"/>
          <w:lang w:eastAsia="en-US"/>
        </w:rPr>
        <w:t xml:space="preserve">. Sarah and a group of LC colleagues are planning an event at LC in June 2025 that will host invited Indigenous leaders and experts in Indigenous knowledge organization to share their expertise and provide LC with some direction in these efforts.     </w:t>
      </w:r>
    </w:p>
    <w:p w14:paraId="4A66D426" w14:textId="2FB93EA5" w:rsidR="008E2CE1" w:rsidRPr="00B819E2" w:rsidRDefault="008E2CE1" w:rsidP="008E2CE1">
      <w:pPr>
        <w:pStyle w:val="ListParagraph"/>
        <w:numPr>
          <w:ilvl w:val="0"/>
          <w:numId w:val="2"/>
        </w:numPr>
        <w:spacing w:after="0" w:line="240" w:lineRule="auto"/>
        <w:rPr>
          <w:rFonts w:cstheme="minorHAnsi"/>
        </w:rPr>
      </w:pPr>
      <w:r>
        <w:rPr>
          <w:rFonts w:ascii="Calibri" w:eastAsiaTheme="minorHAnsi" w:hAnsi="Calibri" w:cs="Calibri"/>
          <w:lang w:eastAsia="en-US"/>
        </w:rPr>
        <w:t>In December 2024,</w:t>
      </w:r>
      <w:r w:rsidR="003053EB">
        <w:rPr>
          <w:rFonts w:ascii="Calibri" w:eastAsiaTheme="minorHAnsi" w:hAnsi="Calibri" w:cs="Calibri"/>
          <w:lang w:eastAsia="en-US"/>
        </w:rPr>
        <w:t xml:space="preserve"> </w:t>
      </w:r>
      <w:r>
        <w:rPr>
          <w:rFonts w:ascii="Calibri" w:eastAsiaTheme="minorHAnsi" w:hAnsi="Calibri" w:cs="Calibri"/>
          <w:lang w:eastAsia="en-US"/>
        </w:rPr>
        <w:t xml:space="preserve">LC published Subject Headings Manual instruction sheet </w:t>
      </w:r>
      <w:hyperlink r:id="rId21" w:history="1">
        <w:r w:rsidRPr="00A532DB">
          <w:rPr>
            <w:rStyle w:val="Hyperlink"/>
            <w:rFonts w:ascii="Calibri" w:eastAsiaTheme="minorHAnsi" w:hAnsi="Calibri" w:cs="Calibri"/>
            <w:lang w:eastAsia="en-US"/>
          </w:rPr>
          <w:t>H 1922</w:t>
        </w:r>
      </w:hyperlink>
      <w:r>
        <w:rPr>
          <w:rFonts w:ascii="Calibri" w:eastAsiaTheme="minorHAnsi" w:hAnsi="Calibri" w:cs="Calibri"/>
          <w:lang w:eastAsia="en-US"/>
        </w:rPr>
        <w:t xml:space="preserve"> </w:t>
      </w:r>
      <w:r>
        <w:rPr>
          <w:rFonts w:ascii="Calibri" w:eastAsiaTheme="minorHAnsi" w:hAnsi="Calibri" w:cs="Calibri"/>
          <w:i/>
          <w:iCs/>
          <w:lang w:eastAsia="en-US"/>
        </w:rPr>
        <w:t>Offensive Words</w:t>
      </w:r>
      <w:r>
        <w:rPr>
          <w:rFonts w:ascii="Calibri" w:eastAsiaTheme="minorHAnsi" w:hAnsi="Calibri" w:cs="Calibri"/>
          <w:lang w:eastAsia="en-US"/>
        </w:rPr>
        <w:t xml:space="preserve"> which, per the </w:t>
      </w:r>
      <w:hyperlink r:id="rId22" w:history="1">
        <w:r w:rsidRPr="00ED286F">
          <w:rPr>
            <w:rStyle w:val="Hyperlink"/>
            <w:rFonts w:ascii="Calibri" w:eastAsiaTheme="minorHAnsi" w:hAnsi="Calibri" w:cs="Calibri"/>
            <w:lang w:eastAsia="en-US"/>
          </w:rPr>
          <w:t>announcement</w:t>
        </w:r>
      </w:hyperlink>
      <w:r>
        <w:rPr>
          <w:rFonts w:ascii="Calibri" w:eastAsiaTheme="minorHAnsi" w:hAnsi="Calibri" w:cs="Calibri"/>
          <w:lang w:eastAsia="en-US"/>
        </w:rPr>
        <w:t xml:space="preserve">, clarifies policy regarding offensive words in subject headings. </w:t>
      </w:r>
      <w:r w:rsidRPr="00163192">
        <w:rPr>
          <w:rFonts w:ascii="Calibri" w:eastAsiaTheme="minorHAnsi" w:hAnsi="Calibri" w:cs="Calibri"/>
          <w:lang w:eastAsia="en-US"/>
        </w:rPr>
        <w:t>The new policy was presented and discussed at the quarterly Subject Editorial meeting on January 17, 2025. H 1922 is the first</w:t>
      </w:r>
      <w:r>
        <w:rPr>
          <w:rFonts w:ascii="Calibri" w:eastAsiaTheme="minorHAnsi" w:hAnsi="Calibri" w:cs="Calibri"/>
          <w:lang w:eastAsia="en-US"/>
        </w:rPr>
        <w:t xml:space="preserve"> new</w:t>
      </w:r>
      <w:r w:rsidRPr="00163192">
        <w:rPr>
          <w:rFonts w:ascii="Calibri" w:eastAsiaTheme="minorHAnsi" w:hAnsi="Calibri" w:cs="Calibri"/>
          <w:lang w:eastAsia="en-US"/>
        </w:rPr>
        <w:t xml:space="preserve"> SHM instruction</w:t>
      </w:r>
      <w:r>
        <w:rPr>
          <w:rFonts w:ascii="Calibri" w:eastAsiaTheme="minorHAnsi" w:hAnsi="Calibri" w:cs="Calibri"/>
          <w:lang w:eastAsia="en-US"/>
        </w:rPr>
        <w:t xml:space="preserve"> sheet to use the new template for improved accessibility.             </w:t>
      </w:r>
    </w:p>
    <w:p w14:paraId="31E81F25" w14:textId="77777777" w:rsidR="00B667DB" w:rsidRDefault="00B667DB" w:rsidP="00B667DB">
      <w:pPr>
        <w:pStyle w:val="NoSpacing"/>
        <w:spacing w:line="168" w:lineRule="auto"/>
        <w:ind w:firstLine="720"/>
        <w:rPr>
          <w:b/>
          <w:bCs/>
          <w:sz w:val="24"/>
          <w:szCs w:val="24"/>
        </w:rPr>
      </w:pPr>
    </w:p>
    <w:p w14:paraId="5B560322" w14:textId="397CCF49" w:rsidR="0090095A" w:rsidRDefault="00A56035" w:rsidP="0090095A">
      <w:pPr>
        <w:pStyle w:val="NoSpacing"/>
        <w:spacing w:line="168" w:lineRule="auto"/>
        <w:ind w:firstLine="720"/>
        <w:rPr>
          <w:b/>
          <w:bCs/>
        </w:rPr>
      </w:pPr>
      <w:r w:rsidRPr="00A56035">
        <w:rPr>
          <w:b/>
          <w:bCs/>
          <w:sz w:val="24"/>
          <w:szCs w:val="24"/>
        </w:rPr>
        <w:t>Library of Congress Demographic Group Terms</w:t>
      </w:r>
      <w:r w:rsidR="00B667DB">
        <w:rPr>
          <w:b/>
          <w:bCs/>
          <w:sz w:val="24"/>
          <w:szCs w:val="24"/>
        </w:rPr>
        <w:t xml:space="preserve"> (LC</w:t>
      </w:r>
      <w:r>
        <w:rPr>
          <w:b/>
          <w:bCs/>
          <w:sz w:val="24"/>
          <w:szCs w:val="24"/>
        </w:rPr>
        <w:t>DGT</w:t>
      </w:r>
      <w:r w:rsidR="00B667DB">
        <w:rPr>
          <w:b/>
          <w:bCs/>
          <w:sz w:val="24"/>
          <w:szCs w:val="24"/>
        </w:rPr>
        <w:t>)</w:t>
      </w:r>
    </w:p>
    <w:p w14:paraId="397DCD77" w14:textId="21934A45" w:rsidR="0090095A" w:rsidRPr="0090095A" w:rsidRDefault="001626E9" w:rsidP="00111750">
      <w:pPr>
        <w:pStyle w:val="ListParagraph"/>
        <w:numPr>
          <w:ilvl w:val="0"/>
          <w:numId w:val="7"/>
        </w:numPr>
        <w:spacing w:line="240" w:lineRule="auto"/>
      </w:pPr>
      <w:r>
        <w:t xml:space="preserve">In July 2024, </w:t>
      </w:r>
      <w:r w:rsidRPr="001626E9">
        <w:t xml:space="preserve">some </w:t>
      </w:r>
      <w:hyperlink r:id="rId23" w:history="1">
        <w:r w:rsidRPr="001626E9">
          <w:rPr>
            <w:rStyle w:val="Hyperlink"/>
          </w:rPr>
          <w:t>LCDGT Manual instruction sheets</w:t>
        </w:r>
      </w:hyperlink>
      <w:r w:rsidRPr="001626E9">
        <w:t xml:space="preserve"> were updated to incorporate new policies and </w:t>
      </w:r>
      <w:r>
        <w:t>make the text more accessible</w:t>
      </w:r>
      <w:r w:rsidRPr="001626E9">
        <w:t>.</w:t>
      </w:r>
      <w:r>
        <w:t xml:space="preserve"> </w:t>
      </w:r>
    </w:p>
    <w:p w14:paraId="0887633C" w14:textId="00A9DB6D" w:rsidR="001626E9" w:rsidRDefault="001626E9" w:rsidP="0090095A">
      <w:pPr>
        <w:pStyle w:val="NoSpacing"/>
        <w:spacing w:line="168" w:lineRule="auto"/>
        <w:ind w:firstLine="720"/>
        <w:rPr>
          <w:b/>
          <w:bCs/>
          <w:sz w:val="24"/>
          <w:szCs w:val="24"/>
        </w:rPr>
      </w:pPr>
      <w:r>
        <w:rPr>
          <w:b/>
          <w:bCs/>
          <w:sz w:val="24"/>
          <w:szCs w:val="24"/>
        </w:rPr>
        <w:t xml:space="preserve">Bibliographic </w:t>
      </w:r>
      <w:r w:rsidR="00F21166">
        <w:rPr>
          <w:b/>
          <w:bCs/>
          <w:sz w:val="24"/>
          <w:szCs w:val="24"/>
        </w:rPr>
        <w:t xml:space="preserve">and Authority </w:t>
      </w:r>
      <w:r>
        <w:rPr>
          <w:b/>
          <w:bCs/>
          <w:sz w:val="24"/>
          <w:szCs w:val="24"/>
        </w:rPr>
        <w:t>File Maintenance</w:t>
      </w:r>
    </w:p>
    <w:p w14:paraId="01C3A446" w14:textId="59D33179" w:rsidR="001626E9" w:rsidRPr="00111750" w:rsidRDefault="001626E9" w:rsidP="00A1086F">
      <w:pPr>
        <w:pStyle w:val="NoSpacing"/>
        <w:numPr>
          <w:ilvl w:val="0"/>
          <w:numId w:val="7"/>
        </w:numPr>
      </w:pPr>
      <w:r>
        <w:t xml:space="preserve">PTCP </w:t>
      </w:r>
      <w:r w:rsidR="00F21166">
        <w:t>regularly</w:t>
      </w:r>
      <w:r>
        <w:t xml:space="preserve"> perform</w:t>
      </w:r>
      <w:r w:rsidR="00C417DF">
        <w:t>s</w:t>
      </w:r>
      <w:r>
        <w:t xml:space="preserve"> bibliographic and authority file maintenance in the LC catalog to increase the discoverability of collection items using consistent and accurate metadata</w:t>
      </w:r>
      <w:r w:rsidR="00833B37">
        <w:t xml:space="preserve">. Updates to catalog records were made in response to feedback from users, reports from staff in other LC units, and contributions from cooperative program partners. In FY24, PTCP updated </w:t>
      </w:r>
      <w:r w:rsidR="00833B37" w:rsidRPr="000B2807">
        <w:t>78,701</w:t>
      </w:r>
      <w:r w:rsidR="00833B37" w:rsidRPr="00833B37">
        <w:t xml:space="preserve"> bibliographic records and </w:t>
      </w:r>
      <w:r w:rsidR="00833B37" w:rsidRPr="000B2807">
        <w:t>5,556</w:t>
      </w:r>
      <w:r w:rsidR="00833B37" w:rsidRPr="00833B37">
        <w:t xml:space="preserve"> name authority</w:t>
      </w:r>
      <w:r w:rsidR="00833B37">
        <w:t xml:space="preserve"> records. </w:t>
      </w:r>
    </w:p>
    <w:p w14:paraId="63F97AE3" w14:textId="77777777" w:rsidR="001626E9" w:rsidRPr="001626E9" w:rsidRDefault="001626E9" w:rsidP="001626E9">
      <w:pPr>
        <w:pStyle w:val="NoSpacing"/>
        <w:spacing w:line="168" w:lineRule="auto"/>
        <w:rPr>
          <w:b/>
          <w:bCs/>
          <w:sz w:val="24"/>
          <w:szCs w:val="24"/>
        </w:rPr>
      </w:pPr>
    </w:p>
    <w:p w14:paraId="595BAC03" w14:textId="66941277" w:rsidR="003A5412" w:rsidRDefault="003A5412" w:rsidP="003A5412">
      <w:pPr>
        <w:pStyle w:val="NoSpacing"/>
        <w:spacing w:line="168" w:lineRule="auto"/>
        <w:ind w:firstLine="720"/>
        <w:rPr>
          <w:b/>
          <w:bCs/>
          <w:sz w:val="24"/>
          <w:szCs w:val="24"/>
        </w:rPr>
      </w:pPr>
      <w:r>
        <w:rPr>
          <w:b/>
          <w:bCs/>
          <w:sz w:val="24"/>
          <w:szCs w:val="24"/>
        </w:rPr>
        <w:t>Official Resource Description and Access (RDA) and related documentation</w:t>
      </w:r>
    </w:p>
    <w:p w14:paraId="02F8EBD6" w14:textId="06C5AF1E" w:rsidR="00E7716A" w:rsidRPr="008C0558" w:rsidRDefault="00E7716A" w:rsidP="00E7716A">
      <w:pPr>
        <w:pStyle w:val="NoSpacing"/>
        <w:numPr>
          <w:ilvl w:val="0"/>
          <w:numId w:val="2"/>
        </w:numPr>
      </w:pPr>
      <w:r>
        <w:t xml:space="preserve">In November 2023, the </w:t>
      </w:r>
      <w:hyperlink r:id="rId24" w:history="1">
        <w:r w:rsidRPr="00C1301C">
          <w:rPr>
            <w:rStyle w:val="Hyperlink"/>
            <w:rFonts w:ascii="Calibri" w:eastAsiaTheme="minorHAnsi" w:hAnsi="Calibri" w:cs="Calibri"/>
            <w:lang w:eastAsia="en-US"/>
          </w:rPr>
          <w:t>PCC Task Group to Test the Official RDA Toolkit</w:t>
        </w:r>
      </w:hyperlink>
      <w:r w:rsidRPr="00C1301C">
        <w:rPr>
          <w:rFonts w:ascii="Calibri" w:eastAsiaTheme="minorHAnsi" w:hAnsi="Calibri" w:cs="Calibri"/>
          <w:lang w:eastAsia="en-US"/>
        </w:rPr>
        <w:t xml:space="preserve"> issued its</w:t>
      </w:r>
      <w:r>
        <w:rPr>
          <w:rFonts w:ascii="Calibri" w:eastAsiaTheme="minorHAnsi" w:hAnsi="Calibri" w:cs="Calibri"/>
          <w:lang w:eastAsia="en-US"/>
        </w:rPr>
        <w:t xml:space="preserve"> </w:t>
      </w:r>
      <w:hyperlink r:id="rId25" w:history="1">
        <w:r w:rsidRPr="00C1301C">
          <w:rPr>
            <w:rStyle w:val="Hyperlink"/>
            <w:rFonts w:ascii="Calibri" w:eastAsiaTheme="minorHAnsi" w:hAnsi="Calibri" w:cs="Calibri"/>
            <w:lang w:eastAsia="en-US"/>
          </w:rPr>
          <w:t>Final Report</w:t>
        </w:r>
      </w:hyperlink>
      <w:r>
        <w:rPr>
          <w:rStyle w:val="Hyperlink"/>
          <w:rFonts w:ascii="Calibri" w:eastAsiaTheme="minorHAnsi" w:hAnsi="Calibri" w:cs="Calibri"/>
          <w:color w:val="auto"/>
          <w:u w:val="none"/>
          <w:lang w:eastAsia="en-US"/>
        </w:rPr>
        <w:t xml:space="preserve">. </w:t>
      </w:r>
      <w:r w:rsidR="000B2807" w:rsidRPr="00C1301C">
        <w:rPr>
          <w:rFonts w:ascii="Calibri" w:eastAsiaTheme="minorHAnsi" w:hAnsi="Calibri" w:cs="Calibri"/>
          <w:lang w:eastAsia="en-US"/>
        </w:rPr>
        <w:t xml:space="preserve">PTCP received from the Task Group requests to update </w:t>
      </w:r>
      <w:r w:rsidR="000B2807" w:rsidRPr="000B2807">
        <w:rPr>
          <w:rFonts w:ascii="Calibri" w:eastAsiaTheme="minorHAnsi" w:hAnsi="Calibri" w:cs="Calibri"/>
          <w:lang w:eastAsia="en-US"/>
        </w:rPr>
        <w:t>625</w:t>
      </w:r>
      <w:r w:rsidR="000B2807" w:rsidRPr="00C1301C">
        <w:rPr>
          <w:rFonts w:ascii="Calibri" w:eastAsiaTheme="minorHAnsi" w:hAnsi="Calibri" w:cs="Calibri"/>
          <w:lang w:eastAsia="en-US"/>
        </w:rPr>
        <w:t xml:space="preserve"> LC-PCC Policy</w:t>
      </w:r>
      <w:r w:rsidR="000B2807">
        <w:rPr>
          <w:rFonts w:ascii="Calibri" w:eastAsiaTheme="minorHAnsi" w:hAnsi="Calibri" w:cs="Calibri"/>
          <w:lang w:eastAsia="en-US"/>
        </w:rPr>
        <w:t xml:space="preserve"> </w:t>
      </w:r>
      <w:r w:rsidR="000B2807" w:rsidRPr="00C1301C">
        <w:rPr>
          <w:rFonts w:ascii="Calibri" w:eastAsiaTheme="minorHAnsi" w:hAnsi="Calibri" w:cs="Calibri"/>
          <w:lang w:eastAsia="en-US"/>
        </w:rPr>
        <w:t>Statements problems</w:t>
      </w:r>
      <w:r w:rsidR="000B2807">
        <w:rPr>
          <w:rFonts w:ascii="Calibri" w:eastAsiaTheme="minorHAnsi" w:hAnsi="Calibri" w:cs="Calibri"/>
          <w:lang w:eastAsia="en-US"/>
        </w:rPr>
        <w:t xml:space="preserve"> and </w:t>
      </w:r>
      <w:r w:rsidR="000B2807" w:rsidRPr="000B2807">
        <w:rPr>
          <w:rFonts w:ascii="Calibri" w:eastAsiaTheme="minorHAnsi" w:hAnsi="Calibri" w:cs="Calibri"/>
          <w:lang w:eastAsia="en-US"/>
        </w:rPr>
        <w:t>366</w:t>
      </w:r>
      <w:r w:rsidR="000B2807">
        <w:rPr>
          <w:rFonts w:ascii="Calibri" w:eastAsiaTheme="minorHAnsi" w:hAnsi="Calibri" w:cs="Calibri"/>
          <w:lang w:eastAsia="en-US"/>
        </w:rPr>
        <w:t xml:space="preserve"> problems in the </w:t>
      </w:r>
      <w:r w:rsidR="000B2807" w:rsidRPr="00C1301C">
        <w:rPr>
          <w:rFonts w:ascii="Calibri" w:eastAsiaTheme="minorHAnsi" w:hAnsi="Calibri" w:cs="Calibri"/>
          <w:lang w:eastAsia="en-US"/>
        </w:rPr>
        <w:t>Metadata Guidance Documentation</w:t>
      </w:r>
      <w:r w:rsidR="000B2807">
        <w:rPr>
          <w:rFonts w:ascii="Calibri" w:eastAsiaTheme="minorHAnsi" w:hAnsi="Calibri" w:cs="Calibri"/>
          <w:lang w:eastAsia="en-US"/>
        </w:rPr>
        <w:t xml:space="preserve">. Starting in early 2024, </w:t>
      </w:r>
      <w:r w:rsidR="000B2807" w:rsidRPr="000B2807">
        <w:rPr>
          <w:rFonts w:ascii="Calibri" w:eastAsiaTheme="minorHAnsi" w:hAnsi="Calibri" w:cs="Calibri"/>
          <w:lang w:eastAsia="en-US"/>
        </w:rPr>
        <w:t>PTCP focused on the critical changes stemming from the PCC RDA test report and</w:t>
      </w:r>
      <w:r w:rsidR="000B2807">
        <w:rPr>
          <w:rFonts w:ascii="Calibri" w:eastAsiaTheme="minorHAnsi" w:hAnsi="Calibri" w:cs="Calibri"/>
          <w:lang w:eastAsia="en-US"/>
        </w:rPr>
        <w:t xml:space="preserve"> continued for the remainder of FY24. </w:t>
      </w:r>
    </w:p>
    <w:p w14:paraId="28645FD8" w14:textId="1751C9DF" w:rsidR="008C0558" w:rsidRPr="005F602E" w:rsidRDefault="008C0558" w:rsidP="008C0558">
      <w:pPr>
        <w:pStyle w:val="NoSpacing"/>
        <w:numPr>
          <w:ilvl w:val="1"/>
          <w:numId w:val="2"/>
        </w:numPr>
      </w:pPr>
      <w:r w:rsidRPr="008C0558">
        <w:t>Concerning LC-PCC Policy Statements, PTCP updated 4,345 boilerplates (January 2024)</w:t>
      </w:r>
      <w:r>
        <w:t xml:space="preserve"> </w:t>
      </w:r>
      <w:r w:rsidRPr="00C1301C">
        <w:rPr>
          <w:rFonts w:ascii="Calibri" w:eastAsiaTheme="minorHAnsi" w:hAnsi="Calibri" w:cs="Calibri"/>
          <w:lang w:eastAsia="en-US"/>
        </w:rPr>
        <w:t>and 3,790 LC-PCC Policy Statements (209 in January 2024</w:t>
      </w:r>
      <w:r w:rsidR="00564379">
        <w:rPr>
          <w:rFonts w:ascii="Calibri" w:eastAsiaTheme="minorHAnsi" w:hAnsi="Calibri" w:cs="Calibri"/>
          <w:lang w:eastAsia="en-US"/>
        </w:rPr>
        <w:t>;</w:t>
      </w:r>
      <w:r w:rsidRPr="00C1301C">
        <w:rPr>
          <w:rFonts w:ascii="Calibri" w:eastAsiaTheme="minorHAnsi" w:hAnsi="Calibri" w:cs="Calibri"/>
          <w:lang w:eastAsia="en-US"/>
        </w:rPr>
        <w:t xml:space="preserve"> 1,204 in March 2024; 2,377 in July</w:t>
      </w:r>
      <w:r>
        <w:rPr>
          <w:rFonts w:ascii="Calibri" w:eastAsiaTheme="minorHAnsi" w:hAnsi="Calibri" w:cs="Calibri"/>
          <w:lang w:eastAsia="en-US"/>
        </w:rPr>
        <w:t xml:space="preserve"> 2024</w:t>
      </w:r>
      <w:r w:rsidRPr="00C1301C">
        <w:rPr>
          <w:rFonts w:ascii="Calibri" w:eastAsiaTheme="minorHAnsi" w:hAnsi="Calibri" w:cs="Calibri"/>
          <w:lang w:eastAsia="en-US"/>
        </w:rPr>
        <w:t>)</w:t>
      </w:r>
      <w:r w:rsidR="005F602E">
        <w:rPr>
          <w:rFonts w:ascii="Calibri" w:eastAsiaTheme="minorHAnsi" w:hAnsi="Calibri" w:cs="Calibri"/>
          <w:lang w:eastAsia="en-US"/>
        </w:rPr>
        <w:t>.</w:t>
      </w:r>
    </w:p>
    <w:p w14:paraId="7E685103" w14:textId="005FFCC2" w:rsidR="00E7716A" w:rsidRPr="004A1610" w:rsidRDefault="005F602E" w:rsidP="004A1610">
      <w:pPr>
        <w:pStyle w:val="NoSpacing"/>
        <w:numPr>
          <w:ilvl w:val="1"/>
          <w:numId w:val="2"/>
        </w:numPr>
      </w:pPr>
      <w:r>
        <w:rPr>
          <w:rFonts w:ascii="Calibri" w:eastAsiaTheme="minorHAnsi" w:hAnsi="Calibri" w:cs="Calibri"/>
          <w:lang w:eastAsia="en-US"/>
        </w:rPr>
        <w:lastRenderedPageBreak/>
        <w:t xml:space="preserve">Concerning </w:t>
      </w:r>
      <w:r w:rsidRPr="00C1301C">
        <w:rPr>
          <w:rFonts w:ascii="Calibri" w:eastAsiaTheme="minorHAnsi" w:hAnsi="Calibri" w:cs="Calibri"/>
          <w:lang w:eastAsia="en-US"/>
        </w:rPr>
        <w:t>Metadata Guidance Documentation, PTCP determined to</w:t>
      </w:r>
      <w:r>
        <w:rPr>
          <w:rFonts w:ascii="Calibri" w:eastAsiaTheme="minorHAnsi" w:hAnsi="Calibri" w:cs="Calibri"/>
          <w:lang w:eastAsia="en-US"/>
        </w:rPr>
        <w:t xml:space="preserve"> </w:t>
      </w:r>
      <w:r w:rsidRPr="00C1301C">
        <w:rPr>
          <w:rFonts w:ascii="Calibri" w:eastAsiaTheme="minorHAnsi" w:hAnsi="Calibri" w:cs="Calibri"/>
          <w:lang w:eastAsia="en-US"/>
        </w:rPr>
        <w:t>implement</w:t>
      </w:r>
      <w:r>
        <w:rPr>
          <w:rFonts w:ascii="Calibri" w:eastAsiaTheme="minorHAnsi" w:hAnsi="Calibri" w:cs="Calibri"/>
          <w:lang w:eastAsia="en-US"/>
        </w:rPr>
        <w:t xml:space="preserve"> 179 recommendations out of 366 identified. Within FY24, PTCP completed 75 of these recommendations. </w:t>
      </w:r>
    </w:p>
    <w:p w14:paraId="1781B340" w14:textId="77777777" w:rsidR="003A5412" w:rsidRDefault="003A5412" w:rsidP="003A5412">
      <w:pPr>
        <w:pStyle w:val="NoSpacing"/>
        <w:spacing w:line="168" w:lineRule="auto"/>
        <w:ind w:firstLine="720"/>
        <w:rPr>
          <w:b/>
          <w:bCs/>
          <w:sz w:val="24"/>
          <w:szCs w:val="24"/>
        </w:rPr>
      </w:pPr>
    </w:p>
    <w:p w14:paraId="6A9A628F" w14:textId="0662F779" w:rsidR="007F7DA1" w:rsidRDefault="007F7DA1" w:rsidP="004A1610">
      <w:pPr>
        <w:pStyle w:val="NoSpacing"/>
        <w:spacing w:line="168" w:lineRule="auto"/>
        <w:ind w:firstLine="720"/>
        <w:rPr>
          <w:b/>
          <w:bCs/>
          <w:sz w:val="24"/>
          <w:szCs w:val="24"/>
        </w:rPr>
      </w:pPr>
      <w:r w:rsidRPr="00D91C7D">
        <w:rPr>
          <w:b/>
          <w:bCs/>
          <w:sz w:val="24"/>
          <w:szCs w:val="24"/>
        </w:rPr>
        <w:t>Program for Cooperative Cataloging</w:t>
      </w:r>
      <w:r>
        <w:rPr>
          <w:b/>
          <w:bCs/>
          <w:sz w:val="24"/>
          <w:szCs w:val="24"/>
        </w:rPr>
        <w:t xml:space="preserve"> (PCC)</w:t>
      </w:r>
    </w:p>
    <w:p w14:paraId="50D79D75" w14:textId="1E6FBB75" w:rsidR="00C20163" w:rsidRPr="00C20163" w:rsidRDefault="004A1610" w:rsidP="00C20163">
      <w:pPr>
        <w:pStyle w:val="NoSpacing"/>
        <w:numPr>
          <w:ilvl w:val="0"/>
          <w:numId w:val="2"/>
        </w:numPr>
        <w:rPr>
          <w:rFonts w:ascii="Calibri" w:eastAsiaTheme="minorHAnsi" w:hAnsi="Calibri" w:cs="Calibri"/>
          <w:lang w:eastAsia="en-US"/>
        </w:rPr>
      </w:pPr>
      <w:r>
        <w:t xml:space="preserve">The </w:t>
      </w:r>
      <w:hyperlink r:id="rId26" w:history="1">
        <w:r w:rsidRPr="00C20163">
          <w:rPr>
            <w:rStyle w:val="Hyperlink"/>
            <w:rFonts w:ascii="Calibri" w:eastAsiaTheme="minorHAnsi" w:hAnsi="Calibri" w:cs="Calibri"/>
            <w:lang w:eastAsia="en-US"/>
          </w:rPr>
          <w:t>PCC Participants’ Meeting</w:t>
        </w:r>
      </w:hyperlink>
      <w:r w:rsidRPr="00C20163">
        <w:rPr>
          <w:rFonts w:ascii="Calibri" w:eastAsiaTheme="minorHAnsi" w:hAnsi="Calibri" w:cs="Calibri"/>
          <w:lang w:eastAsia="en-US"/>
        </w:rPr>
        <w:t xml:space="preserve"> will be</w:t>
      </w:r>
      <w:r w:rsidR="00C20163" w:rsidRPr="00C20163">
        <w:rPr>
          <w:rFonts w:ascii="Calibri" w:eastAsiaTheme="minorHAnsi" w:hAnsi="Calibri" w:cs="Calibri"/>
          <w:lang w:eastAsia="en-US"/>
        </w:rPr>
        <w:t>/was</w:t>
      </w:r>
      <w:r w:rsidRPr="00C20163">
        <w:rPr>
          <w:rFonts w:ascii="Calibri" w:eastAsiaTheme="minorHAnsi" w:hAnsi="Calibri" w:cs="Calibri"/>
          <w:lang w:eastAsia="en-US"/>
        </w:rPr>
        <w:t xml:space="preserve"> held virtually on February 13, 2025</w:t>
      </w:r>
      <w:r w:rsidR="00C20163">
        <w:rPr>
          <w:rFonts w:ascii="Calibri" w:eastAsiaTheme="minorHAnsi" w:hAnsi="Calibri" w:cs="Calibri"/>
          <w:lang w:eastAsia="en-US"/>
        </w:rPr>
        <w:t xml:space="preserve">, </w:t>
      </w:r>
      <w:r w:rsidR="00C20163" w:rsidRPr="00C20163">
        <w:rPr>
          <w:rFonts w:ascii="Calibri" w:eastAsiaTheme="minorHAnsi" w:hAnsi="Calibri" w:cs="Calibri"/>
          <w:lang w:eastAsia="en-US"/>
        </w:rPr>
        <w:t>1:00 pm-2:30 pm (Eastern)</w:t>
      </w:r>
    </w:p>
    <w:p w14:paraId="6BBD27C5" w14:textId="7AC060D0" w:rsidR="00EE2DFB" w:rsidRPr="00C20163" w:rsidRDefault="00EE2DFB" w:rsidP="00A86FD0">
      <w:pPr>
        <w:pStyle w:val="NoSpacing"/>
        <w:numPr>
          <w:ilvl w:val="0"/>
          <w:numId w:val="2"/>
        </w:numPr>
        <w:rPr>
          <w:rStyle w:val="Hyperlink"/>
          <w:color w:val="auto"/>
          <w:u w:val="none"/>
        </w:rPr>
      </w:pPr>
      <w:r w:rsidRPr="00C20163">
        <w:rPr>
          <w:rFonts w:ascii="Calibri" w:eastAsiaTheme="minorHAnsi" w:hAnsi="Calibri" w:cs="Calibri"/>
          <w:i/>
          <w:iCs/>
          <w:lang w:eastAsia="en-US"/>
        </w:rPr>
        <w:fldChar w:fldCharType="begin"/>
      </w:r>
      <w:r w:rsidRPr="00C20163">
        <w:rPr>
          <w:rFonts w:ascii="Calibri" w:eastAsiaTheme="minorHAnsi" w:hAnsi="Calibri" w:cs="Calibri"/>
          <w:i/>
          <w:iCs/>
          <w:lang w:eastAsia="en-US"/>
        </w:rPr>
        <w:instrText>HYPERLINK "https://www.loc.gov/aba/pcc/documents/PCC-Synchronous-Programming-Member-Relations-and-OpCo-Future.pdf"</w:instrText>
      </w:r>
      <w:r w:rsidRPr="00C1301C">
        <w:rPr>
          <w:rFonts w:ascii="Calibri" w:eastAsiaTheme="minorHAnsi" w:hAnsi="Calibri" w:cs="Calibri"/>
          <w:i/>
          <w:iCs/>
          <w:lang w:eastAsia="en-US"/>
        </w:rPr>
      </w:r>
      <w:r w:rsidRPr="00C20163">
        <w:rPr>
          <w:rFonts w:ascii="Calibri" w:eastAsiaTheme="minorHAnsi" w:hAnsi="Calibri" w:cs="Calibri"/>
          <w:i/>
          <w:iCs/>
          <w:lang w:eastAsia="en-US"/>
        </w:rPr>
        <w:fldChar w:fldCharType="separate"/>
      </w:r>
      <w:r w:rsidRPr="00C20163">
        <w:rPr>
          <w:rStyle w:val="Hyperlink"/>
          <w:rFonts w:ascii="Calibri" w:eastAsiaTheme="minorHAnsi" w:hAnsi="Calibri" w:cs="Calibri"/>
          <w:i/>
          <w:iCs/>
          <w:lang w:eastAsia="en-US"/>
        </w:rPr>
        <w:t>PCC Synchronous Programming, Member Relations, and the Future of the Operations</w:t>
      </w:r>
    </w:p>
    <w:p w14:paraId="46067DAE" w14:textId="1957E06D" w:rsidR="00EE2DFB" w:rsidRPr="00EE2DFB" w:rsidRDefault="00EE2DFB" w:rsidP="00EE2DFB">
      <w:pPr>
        <w:tabs>
          <w:tab w:val="left" w:pos="900"/>
        </w:tabs>
        <w:spacing w:after="0" w:line="240" w:lineRule="auto"/>
        <w:ind w:left="1440"/>
        <w:rPr>
          <w:rFonts w:ascii="Calibri" w:eastAsiaTheme="minorHAnsi" w:hAnsi="Calibri" w:cs="Calibri"/>
          <w:i/>
          <w:iCs/>
          <w:lang w:eastAsia="en-US"/>
        </w:rPr>
      </w:pPr>
      <w:r w:rsidRPr="00C1301C">
        <w:rPr>
          <w:rStyle w:val="Hyperlink"/>
          <w:rFonts w:ascii="Calibri" w:eastAsiaTheme="minorHAnsi" w:hAnsi="Calibri" w:cs="Calibri"/>
          <w:i/>
          <w:iCs/>
          <w:lang w:eastAsia="en-US"/>
        </w:rPr>
        <w:t>Committee: a new framework provisionally adopted by the PCC Steering Committee, 8/2/24</w:t>
      </w:r>
      <w:r w:rsidRPr="00C1301C">
        <w:rPr>
          <w:rFonts w:ascii="Calibri" w:eastAsiaTheme="minorHAnsi" w:hAnsi="Calibri" w:cs="Calibri"/>
          <w:i/>
          <w:iCs/>
          <w:lang w:eastAsia="en-US"/>
        </w:rPr>
        <w:fldChar w:fldCharType="end"/>
      </w:r>
      <w:r w:rsidRPr="00C1301C">
        <w:rPr>
          <w:rFonts w:ascii="Calibri" w:eastAsiaTheme="minorHAnsi" w:hAnsi="Calibri" w:cs="Calibri"/>
          <w:lang w:eastAsia="en-US"/>
        </w:rPr>
        <w:t xml:space="preserve"> </w:t>
      </w:r>
      <w:r>
        <w:rPr>
          <w:rFonts w:ascii="Calibri" w:eastAsiaTheme="minorHAnsi" w:hAnsi="Calibri" w:cs="Calibri"/>
          <w:lang w:eastAsia="en-US"/>
        </w:rPr>
        <w:t>was published</w:t>
      </w:r>
      <w:r w:rsidRPr="00C1301C">
        <w:rPr>
          <w:rFonts w:ascii="Calibri" w:eastAsiaTheme="minorHAnsi" w:hAnsi="Calibri" w:cs="Calibri"/>
          <w:lang w:eastAsia="en-US"/>
        </w:rPr>
        <w:t xml:space="preserve"> </w:t>
      </w:r>
      <w:r>
        <w:rPr>
          <w:rFonts w:ascii="Calibri" w:eastAsiaTheme="minorHAnsi" w:hAnsi="Calibri" w:cs="Calibri"/>
          <w:lang w:eastAsia="en-US"/>
        </w:rPr>
        <w:t xml:space="preserve">in </w:t>
      </w:r>
      <w:r w:rsidRPr="00C1301C">
        <w:rPr>
          <w:rFonts w:ascii="Calibri" w:eastAsiaTheme="minorHAnsi" w:hAnsi="Calibri" w:cs="Calibri"/>
          <w:lang w:eastAsia="en-US"/>
        </w:rPr>
        <w:t>September 2024</w:t>
      </w:r>
      <w:r>
        <w:rPr>
          <w:rFonts w:ascii="Calibri" w:eastAsiaTheme="minorHAnsi" w:hAnsi="Calibri" w:cs="Calibri"/>
          <w:lang w:eastAsia="en-US"/>
        </w:rPr>
        <w:t xml:space="preserve">. </w:t>
      </w:r>
      <w:r w:rsidRPr="00C1301C">
        <w:rPr>
          <w:rFonts w:ascii="Calibri" w:eastAsiaTheme="minorHAnsi" w:hAnsi="Calibri" w:cs="Calibri"/>
          <w:i/>
          <w:iCs/>
          <w:lang w:eastAsia="en-US"/>
        </w:rPr>
        <w:t xml:space="preserve"> </w:t>
      </w:r>
    </w:p>
    <w:p w14:paraId="4580D0D1" w14:textId="77777777" w:rsidR="00D2279A" w:rsidRPr="00F7729F" w:rsidRDefault="00D2279A" w:rsidP="001F6266">
      <w:pPr>
        <w:pStyle w:val="NoSpacing"/>
        <w:spacing w:line="14" w:lineRule="atLeast"/>
      </w:pPr>
    </w:p>
    <w:sectPr w:rsidR="00D2279A" w:rsidRPr="00F7729F">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FE214" w14:textId="77777777" w:rsidR="00E0688C" w:rsidRDefault="00E0688C" w:rsidP="002D4273">
      <w:pPr>
        <w:spacing w:after="0" w:line="240" w:lineRule="auto"/>
      </w:pPr>
      <w:r>
        <w:separator/>
      </w:r>
    </w:p>
  </w:endnote>
  <w:endnote w:type="continuationSeparator" w:id="0">
    <w:p w14:paraId="63A12F03" w14:textId="77777777" w:rsidR="00E0688C" w:rsidRDefault="00E0688C" w:rsidP="002D4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BABEF" w14:textId="1CBDAB3C" w:rsidR="00CC32DD" w:rsidRDefault="00CC32DD">
    <w:pPr>
      <w:pStyle w:val="Footer"/>
    </w:pPr>
    <w:r>
      <w:t>February 2025</w:t>
    </w:r>
    <w:r>
      <w:tab/>
    </w:r>
    <w:r>
      <w:tab/>
    </w:r>
    <w:sdt>
      <w:sdtPr>
        <w:id w:val="-64713143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35DFACE" w14:textId="77777777" w:rsidR="002D4273" w:rsidRDefault="002D4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AC666" w14:textId="77777777" w:rsidR="00E0688C" w:rsidRDefault="00E0688C" w:rsidP="002D4273">
      <w:pPr>
        <w:spacing w:after="0" w:line="240" w:lineRule="auto"/>
      </w:pPr>
      <w:r>
        <w:separator/>
      </w:r>
    </w:p>
  </w:footnote>
  <w:footnote w:type="continuationSeparator" w:id="0">
    <w:p w14:paraId="476113EA" w14:textId="77777777" w:rsidR="00E0688C" w:rsidRDefault="00E0688C" w:rsidP="002D4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C6D74" w14:textId="6052ED04" w:rsidR="00CC32DD" w:rsidRDefault="00CC32DD">
    <w:pPr>
      <w:pStyle w:val="Header"/>
    </w:pPr>
    <w:r>
      <w:rPr>
        <w:rFonts w:cs="Times New Roman"/>
      </w:rPr>
      <w:tab/>
    </w:r>
    <w:r>
      <w:rPr>
        <w:rFonts w:cs="Times New Roman"/>
      </w:rPr>
      <w:tab/>
    </w:r>
    <w:r w:rsidRPr="007A14A3">
      <w:rPr>
        <w:rFonts w:cs="Times New Roman"/>
      </w:rPr>
      <w:t>SAC</w:t>
    </w:r>
    <w:r>
      <w:rPr>
        <w:rFonts w:cs="Times New Roman"/>
      </w:rPr>
      <w:t>25-MW-</w:t>
    </w:r>
    <w:r w:rsidRPr="007A14A3">
      <w:rPr>
        <w:rFonts w:cs="Times New Roman"/>
      </w:rPr>
      <w:t>LC</w:t>
    </w:r>
    <w:r>
      <w:rPr>
        <w:rFonts w:cs="Times New Roman"/>
      </w:rPr>
      <w:t>-PTCP</w:t>
    </w:r>
  </w:p>
  <w:p w14:paraId="7E73DD6A" w14:textId="77777777" w:rsidR="00CC32DD" w:rsidRDefault="00CC32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E73E3"/>
    <w:multiLevelType w:val="hybridMultilevel"/>
    <w:tmpl w:val="6D64F7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92A6B63"/>
    <w:multiLevelType w:val="hybridMultilevel"/>
    <w:tmpl w:val="0D3E78D8"/>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15:restartNumberingAfterBreak="0">
    <w:nsid w:val="39791091"/>
    <w:multiLevelType w:val="hybridMultilevel"/>
    <w:tmpl w:val="6D6E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5D6BD1"/>
    <w:multiLevelType w:val="hybridMultilevel"/>
    <w:tmpl w:val="F1FA8E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692052C"/>
    <w:multiLevelType w:val="hybridMultilevel"/>
    <w:tmpl w:val="2B666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B360F6A"/>
    <w:multiLevelType w:val="hybridMultilevel"/>
    <w:tmpl w:val="3508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644CCC"/>
    <w:multiLevelType w:val="hybridMultilevel"/>
    <w:tmpl w:val="2C96EF0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6CB8133B"/>
    <w:multiLevelType w:val="hybridMultilevel"/>
    <w:tmpl w:val="FB78B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D5B12BB"/>
    <w:multiLevelType w:val="hybridMultilevel"/>
    <w:tmpl w:val="713CA4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0194BED"/>
    <w:multiLevelType w:val="hybridMultilevel"/>
    <w:tmpl w:val="72E421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29468E5"/>
    <w:multiLevelType w:val="hybridMultilevel"/>
    <w:tmpl w:val="E4AC31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53662B0"/>
    <w:multiLevelType w:val="hybridMultilevel"/>
    <w:tmpl w:val="997E2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41592839">
    <w:abstractNumId w:val="5"/>
  </w:num>
  <w:num w:numId="2" w16cid:durableId="364478096">
    <w:abstractNumId w:val="1"/>
  </w:num>
  <w:num w:numId="3" w16cid:durableId="1250623847">
    <w:abstractNumId w:val="8"/>
  </w:num>
  <w:num w:numId="4" w16cid:durableId="1016033860">
    <w:abstractNumId w:val="11"/>
  </w:num>
  <w:num w:numId="5" w16cid:durableId="225338530">
    <w:abstractNumId w:val="9"/>
  </w:num>
  <w:num w:numId="6" w16cid:durableId="1615552746">
    <w:abstractNumId w:val="4"/>
  </w:num>
  <w:num w:numId="7" w16cid:durableId="907809593">
    <w:abstractNumId w:val="0"/>
  </w:num>
  <w:num w:numId="8" w16cid:durableId="9917700">
    <w:abstractNumId w:val="2"/>
  </w:num>
  <w:num w:numId="9" w16cid:durableId="660156583">
    <w:abstractNumId w:val="3"/>
  </w:num>
  <w:num w:numId="10" w16cid:durableId="412363183">
    <w:abstractNumId w:val="6"/>
  </w:num>
  <w:num w:numId="11" w16cid:durableId="218709035">
    <w:abstractNumId w:val="7"/>
  </w:num>
  <w:num w:numId="12" w16cid:durableId="209381248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FC6"/>
    <w:rsid w:val="00000B41"/>
    <w:rsid w:val="00001FC7"/>
    <w:rsid w:val="00004599"/>
    <w:rsid w:val="00006187"/>
    <w:rsid w:val="0000637B"/>
    <w:rsid w:val="00006C70"/>
    <w:rsid w:val="00007779"/>
    <w:rsid w:val="000077B7"/>
    <w:rsid w:val="00017BEB"/>
    <w:rsid w:val="000315FC"/>
    <w:rsid w:val="00033D71"/>
    <w:rsid w:val="00035791"/>
    <w:rsid w:val="0004265E"/>
    <w:rsid w:val="000448C0"/>
    <w:rsid w:val="000451A8"/>
    <w:rsid w:val="000455E0"/>
    <w:rsid w:val="000456E3"/>
    <w:rsid w:val="0004737D"/>
    <w:rsid w:val="00050BCB"/>
    <w:rsid w:val="000628A9"/>
    <w:rsid w:val="000633E5"/>
    <w:rsid w:val="0006349B"/>
    <w:rsid w:val="00065030"/>
    <w:rsid w:val="000749C1"/>
    <w:rsid w:val="000813C2"/>
    <w:rsid w:val="00082EEC"/>
    <w:rsid w:val="00086FE7"/>
    <w:rsid w:val="00093A6F"/>
    <w:rsid w:val="000A0C64"/>
    <w:rsid w:val="000A26C1"/>
    <w:rsid w:val="000A3562"/>
    <w:rsid w:val="000B0969"/>
    <w:rsid w:val="000B2807"/>
    <w:rsid w:val="000C25F2"/>
    <w:rsid w:val="000C32BD"/>
    <w:rsid w:val="000C3A6C"/>
    <w:rsid w:val="000C68A6"/>
    <w:rsid w:val="000D18A9"/>
    <w:rsid w:val="000D77F4"/>
    <w:rsid w:val="000F3334"/>
    <w:rsid w:val="00100F25"/>
    <w:rsid w:val="001025B1"/>
    <w:rsid w:val="001053F7"/>
    <w:rsid w:val="00106493"/>
    <w:rsid w:val="00111750"/>
    <w:rsid w:val="00114D38"/>
    <w:rsid w:val="001249E5"/>
    <w:rsid w:val="0012690B"/>
    <w:rsid w:val="00126C48"/>
    <w:rsid w:val="00130536"/>
    <w:rsid w:val="00147BE4"/>
    <w:rsid w:val="00147D30"/>
    <w:rsid w:val="001517A4"/>
    <w:rsid w:val="001561DB"/>
    <w:rsid w:val="00162093"/>
    <w:rsid w:val="001626E9"/>
    <w:rsid w:val="00163192"/>
    <w:rsid w:val="0016335D"/>
    <w:rsid w:val="001721D5"/>
    <w:rsid w:val="001733A4"/>
    <w:rsid w:val="0017384A"/>
    <w:rsid w:val="00173A17"/>
    <w:rsid w:val="00174FD0"/>
    <w:rsid w:val="00183565"/>
    <w:rsid w:val="0018392F"/>
    <w:rsid w:val="001933E3"/>
    <w:rsid w:val="00197D8D"/>
    <w:rsid w:val="001A09F0"/>
    <w:rsid w:val="001B0ED6"/>
    <w:rsid w:val="001B6E2B"/>
    <w:rsid w:val="001C79D4"/>
    <w:rsid w:val="001D23EB"/>
    <w:rsid w:val="001D4E78"/>
    <w:rsid w:val="001E0563"/>
    <w:rsid w:val="001E5953"/>
    <w:rsid w:val="001E7148"/>
    <w:rsid w:val="001F596B"/>
    <w:rsid w:val="001F6266"/>
    <w:rsid w:val="002003EA"/>
    <w:rsid w:val="00204465"/>
    <w:rsid w:val="0020685E"/>
    <w:rsid w:val="002073CC"/>
    <w:rsid w:val="00210423"/>
    <w:rsid w:val="00210791"/>
    <w:rsid w:val="00214771"/>
    <w:rsid w:val="00217FE8"/>
    <w:rsid w:val="0022080E"/>
    <w:rsid w:val="00222647"/>
    <w:rsid w:val="00225EEF"/>
    <w:rsid w:val="00227FE7"/>
    <w:rsid w:val="00230F39"/>
    <w:rsid w:val="00241A64"/>
    <w:rsid w:val="00241D40"/>
    <w:rsid w:val="002532F9"/>
    <w:rsid w:val="00255B6E"/>
    <w:rsid w:val="00257543"/>
    <w:rsid w:val="00261718"/>
    <w:rsid w:val="00264CB2"/>
    <w:rsid w:val="00264DEB"/>
    <w:rsid w:val="00266476"/>
    <w:rsid w:val="00270D6D"/>
    <w:rsid w:val="00271ECE"/>
    <w:rsid w:val="002738D9"/>
    <w:rsid w:val="002832C1"/>
    <w:rsid w:val="0028556E"/>
    <w:rsid w:val="002A6105"/>
    <w:rsid w:val="002B1973"/>
    <w:rsid w:val="002B639D"/>
    <w:rsid w:val="002B7742"/>
    <w:rsid w:val="002C52C3"/>
    <w:rsid w:val="002D24F8"/>
    <w:rsid w:val="002D4273"/>
    <w:rsid w:val="002D607A"/>
    <w:rsid w:val="002D7938"/>
    <w:rsid w:val="002E3833"/>
    <w:rsid w:val="002E408A"/>
    <w:rsid w:val="003000B6"/>
    <w:rsid w:val="003009F5"/>
    <w:rsid w:val="00301ACC"/>
    <w:rsid w:val="00302D83"/>
    <w:rsid w:val="00303315"/>
    <w:rsid w:val="003053EB"/>
    <w:rsid w:val="003057B8"/>
    <w:rsid w:val="00306EF0"/>
    <w:rsid w:val="00310970"/>
    <w:rsid w:val="00314DAE"/>
    <w:rsid w:val="00316AF8"/>
    <w:rsid w:val="00321EC7"/>
    <w:rsid w:val="003230FA"/>
    <w:rsid w:val="00325E5C"/>
    <w:rsid w:val="0033410D"/>
    <w:rsid w:val="00336026"/>
    <w:rsid w:val="0033779A"/>
    <w:rsid w:val="0034042D"/>
    <w:rsid w:val="00343F4C"/>
    <w:rsid w:val="003522DA"/>
    <w:rsid w:val="00352B81"/>
    <w:rsid w:val="00354C0A"/>
    <w:rsid w:val="003634D5"/>
    <w:rsid w:val="0036350D"/>
    <w:rsid w:val="00365FCF"/>
    <w:rsid w:val="0037138C"/>
    <w:rsid w:val="00373437"/>
    <w:rsid w:val="003804E3"/>
    <w:rsid w:val="003866EC"/>
    <w:rsid w:val="00390424"/>
    <w:rsid w:val="0039123B"/>
    <w:rsid w:val="00391FD4"/>
    <w:rsid w:val="003924A3"/>
    <w:rsid w:val="003938F5"/>
    <w:rsid w:val="003A0ED5"/>
    <w:rsid w:val="003A1315"/>
    <w:rsid w:val="003A5412"/>
    <w:rsid w:val="003B6100"/>
    <w:rsid w:val="003C42E6"/>
    <w:rsid w:val="003D6AB1"/>
    <w:rsid w:val="003D7342"/>
    <w:rsid w:val="003D758B"/>
    <w:rsid w:val="003E231E"/>
    <w:rsid w:val="003E2DB8"/>
    <w:rsid w:val="003F3620"/>
    <w:rsid w:val="003F5BC6"/>
    <w:rsid w:val="003F7456"/>
    <w:rsid w:val="00406476"/>
    <w:rsid w:val="004102A5"/>
    <w:rsid w:val="00410D6A"/>
    <w:rsid w:val="00415AAA"/>
    <w:rsid w:val="00431DEC"/>
    <w:rsid w:val="0043603F"/>
    <w:rsid w:val="00436049"/>
    <w:rsid w:val="00437447"/>
    <w:rsid w:val="0044363E"/>
    <w:rsid w:val="00454270"/>
    <w:rsid w:val="00466CAD"/>
    <w:rsid w:val="00467208"/>
    <w:rsid w:val="00472A8B"/>
    <w:rsid w:val="00475BEE"/>
    <w:rsid w:val="0048192F"/>
    <w:rsid w:val="00482B1C"/>
    <w:rsid w:val="00483D93"/>
    <w:rsid w:val="00486D78"/>
    <w:rsid w:val="00487216"/>
    <w:rsid w:val="004949E1"/>
    <w:rsid w:val="004951D9"/>
    <w:rsid w:val="00497825"/>
    <w:rsid w:val="004A1610"/>
    <w:rsid w:val="004A1C9E"/>
    <w:rsid w:val="004A2BB1"/>
    <w:rsid w:val="004B439F"/>
    <w:rsid w:val="004C247E"/>
    <w:rsid w:val="004C291A"/>
    <w:rsid w:val="004C5814"/>
    <w:rsid w:val="004D1590"/>
    <w:rsid w:val="004D5534"/>
    <w:rsid w:val="004D5FC3"/>
    <w:rsid w:val="004D6CF4"/>
    <w:rsid w:val="004E0F18"/>
    <w:rsid w:val="004E5792"/>
    <w:rsid w:val="004E6DCE"/>
    <w:rsid w:val="004F262A"/>
    <w:rsid w:val="004F2859"/>
    <w:rsid w:val="004F7D8A"/>
    <w:rsid w:val="004F7EFD"/>
    <w:rsid w:val="00500061"/>
    <w:rsid w:val="00513017"/>
    <w:rsid w:val="00514996"/>
    <w:rsid w:val="0051519D"/>
    <w:rsid w:val="005154BB"/>
    <w:rsid w:val="005154C7"/>
    <w:rsid w:val="0051662F"/>
    <w:rsid w:val="0052669F"/>
    <w:rsid w:val="0053050D"/>
    <w:rsid w:val="00532214"/>
    <w:rsid w:val="00541891"/>
    <w:rsid w:val="00541971"/>
    <w:rsid w:val="00544B54"/>
    <w:rsid w:val="00564379"/>
    <w:rsid w:val="0056630C"/>
    <w:rsid w:val="005679DF"/>
    <w:rsid w:val="00574ECC"/>
    <w:rsid w:val="00590117"/>
    <w:rsid w:val="00590F63"/>
    <w:rsid w:val="0059281D"/>
    <w:rsid w:val="005947F4"/>
    <w:rsid w:val="005A02EC"/>
    <w:rsid w:val="005B0CA3"/>
    <w:rsid w:val="005C458B"/>
    <w:rsid w:val="005C5759"/>
    <w:rsid w:val="005C73E2"/>
    <w:rsid w:val="005C7F76"/>
    <w:rsid w:val="005E3838"/>
    <w:rsid w:val="005E650B"/>
    <w:rsid w:val="005F2BD0"/>
    <w:rsid w:val="005F602E"/>
    <w:rsid w:val="00600978"/>
    <w:rsid w:val="006107F6"/>
    <w:rsid w:val="006178DC"/>
    <w:rsid w:val="006226B0"/>
    <w:rsid w:val="0062465C"/>
    <w:rsid w:val="00626224"/>
    <w:rsid w:val="00630E5B"/>
    <w:rsid w:val="00632D3F"/>
    <w:rsid w:val="00641756"/>
    <w:rsid w:val="00642DEC"/>
    <w:rsid w:val="00651442"/>
    <w:rsid w:val="006514E0"/>
    <w:rsid w:val="00654FC6"/>
    <w:rsid w:val="0066128A"/>
    <w:rsid w:val="00664609"/>
    <w:rsid w:val="00665787"/>
    <w:rsid w:val="006711AC"/>
    <w:rsid w:val="006731C7"/>
    <w:rsid w:val="006845FF"/>
    <w:rsid w:val="00691994"/>
    <w:rsid w:val="006972BA"/>
    <w:rsid w:val="00697678"/>
    <w:rsid w:val="006A4CD8"/>
    <w:rsid w:val="006A6C59"/>
    <w:rsid w:val="006B383C"/>
    <w:rsid w:val="006C16D5"/>
    <w:rsid w:val="006C2494"/>
    <w:rsid w:val="006C4931"/>
    <w:rsid w:val="006D379A"/>
    <w:rsid w:val="006E5084"/>
    <w:rsid w:val="006E55F0"/>
    <w:rsid w:val="006F6017"/>
    <w:rsid w:val="00702578"/>
    <w:rsid w:val="00704AE3"/>
    <w:rsid w:val="00711BDC"/>
    <w:rsid w:val="00714C56"/>
    <w:rsid w:val="00714F6D"/>
    <w:rsid w:val="00716242"/>
    <w:rsid w:val="00724C03"/>
    <w:rsid w:val="007313CC"/>
    <w:rsid w:val="0073221E"/>
    <w:rsid w:val="00734D3F"/>
    <w:rsid w:val="00761485"/>
    <w:rsid w:val="00764934"/>
    <w:rsid w:val="00766EB7"/>
    <w:rsid w:val="0077432E"/>
    <w:rsid w:val="00787E07"/>
    <w:rsid w:val="00792878"/>
    <w:rsid w:val="00796731"/>
    <w:rsid w:val="007A37F9"/>
    <w:rsid w:val="007A3927"/>
    <w:rsid w:val="007B0522"/>
    <w:rsid w:val="007B15BA"/>
    <w:rsid w:val="007B40FE"/>
    <w:rsid w:val="007C0DB3"/>
    <w:rsid w:val="007C4847"/>
    <w:rsid w:val="007C5CC6"/>
    <w:rsid w:val="007D566B"/>
    <w:rsid w:val="007D7840"/>
    <w:rsid w:val="007E1911"/>
    <w:rsid w:val="007E63B0"/>
    <w:rsid w:val="007F7DA1"/>
    <w:rsid w:val="00821A71"/>
    <w:rsid w:val="008255B7"/>
    <w:rsid w:val="0083135E"/>
    <w:rsid w:val="00831FCF"/>
    <w:rsid w:val="00833B37"/>
    <w:rsid w:val="008369DC"/>
    <w:rsid w:val="00837A11"/>
    <w:rsid w:val="008408EB"/>
    <w:rsid w:val="00841C86"/>
    <w:rsid w:val="0084251E"/>
    <w:rsid w:val="00843A39"/>
    <w:rsid w:val="00845A34"/>
    <w:rsid w:val="008477E5"/>
    <w:rsid w:val="0087651F"/>
    <w:rsid w:val="00877DBA"/>
    <w:rsid w:val="00885A5A"/>
    <w:rsid w:val="00890F5E"/>
    <w:rsid w:val="00895721"/>
    <w:rsid w:val="008A1663"/>
    <w:rsid w:val="008A1B67"/>
    <w:rsid w:val="008A433D"/>
    <w:rsid w:val="008A6159"/>
    <w:rsid w:val="008B0473"/>
    <w:rsid w:val="008B370C"/>
    <w:rsid w:val="008B3F13"/>
    <w:rsid w:val="008B6349"/>
    <w:rsid w:val="008C0558"/>
    <w:rsid w:val="008C339A"/>
    <w:rsid w:val="008C4608"/>
    <w:rsid w:val="008C57B1"/>
    <w:rsid w:val="008C6006"/>
    <w:rsid w:val="008D337B"/>
    <w:rsid w:val="008E04D0"/>
    <w:rsid w:val="008E0A6C"/>
    <w:rsid w:val="008E2CE1"/>
    <w:rsid w:val="008F48D2"/>
    <w:rsid w:val="008F77DC"/>
    <w:rsid w:val="009008E1"/>
    <w:rsid w:val="0090095A"/>
    <w:rsid w:val="00900CF3"/>
    <w:rsid w:val="00905EF7"/>
    <w:rsid w:val="00906A32"/>
    <w:rsid w:val="009127B9"/>
    <w:rsid w:val="00917F01"/>
    <w:rsid w:val="00922A36"/>
    <w:rsid w:val="00925EC8"/>
    <w:rsid w:val="0092641A"/>
    <w:rsid w:val="00930E6B"/>
    <w:rsid w:val="00931099"/>
    <w:rsid w:val="00946F79"/>
    <w:rsid w:val="00964D04"/>
    <w:rsid w:val="00966A5B"/>
    <w:rsid w:val="0096756F"/>
    <w:rsid w:val="00976029"/>
    <w:rsid w:val="009860B4"/>
    <w:rsid w:val="009865F4"/>
    <w:rsid w:val="00994A07"/>
    <w:rsid w:val="00996C0D"/>
    <w:rsid w:val="009A058F"/>
    <w:rsid w:val="009B22D2"/>
    <w:rsid w:val="009B34BF"/>
    <w:rsid w:val="009B5866"/>
    <w:rsid w:val="009B6DF6"/>
    <w:rsid w:val="009B6FD9"/>
    <w:rsid w:val="009D1875"/>
    <w:rsid w:val="009D19E7"/>
    <w:rsid w:val="009D23F5"/>
    <w:rsid w:val="009D2681"/>
    <w:rsid w:val="009D595E"/>
    <w:rsid w:val="009D6E40"/>
    <w:rsid w:val="009E0B79"/>
    <w:rsid w:val="009E59AE"/>
    <w:rsid w:val="009E7867"/>
    <w:rsid w:val="009F0A9C"/>
    <w:rsid w:val="009F0BD6"/>
    <w:rsid w:val="009F253F"/>
    <w:rsid w:val="00A003A1"/>
    <w:rsid w:val="00A00957"/>
    <w:rsid w:val="00A1086F"/>
    <w:rsid w:val="00A11CD8"/>
    <w:rsid w:val="00A1243C"/>
    <w:rsid w:val="00A17CCB"/>
    <w:rsid w:val="00A20D7F"/>
    <w:rsid w:val="00A30C15"/>
    <w:rsid w:val="00A30C29"/>
    <w:rsid w:val="00A31D89"/>
    <w:rsid w:val="00A32D88"/>
    <w:rsid w:val="00A36ED1"/>
    <w:rsid w:val="00A45353"/>
    <w:rsid w:val="00A5002A"/>
    <w:rsid w:val="00A506A6"/>
    <w:rsid w:val="00A52FD9"/>
    <w:rsid w:val="00A54BA6"/>
    <w:rsid w:val="00A54C82"/>
    <w:rsid w:val="00A56035"/>
    <w:rsid w:val="00A65156"/>
    <w:rsid w:val="00A71B09"/>
    <w:rsid w:val="00A71E93"/>
    <w:rsid w:val="00A73948"/>
    <w:rsid w:val="00A77E3F"/>
    <w:rsid w:val="00A82400"/>
    <w:rsid w:val="00A83936"/>
    <w:rsid w:val="00A856A1"/>
    <w:rsid w:val="00A91659"/>
    <w:rsid w:val="00A91B30"/>
    <w:rsid w:val="00A93376"/>
    <w:rsid w:val="00A94128"/>
    <w:rsid w:val="00AA6253"/>
    <w:rsid w:val="00AB0EAB"/>
    <w:rsid w:val="00AC0F56"/>
    <w:rsid w:val="00AC380F"/>
    <w:rsid w:val="00AC4864"/>
    <w:rsid w:val="00AC651A"/>
    <w:rsid w:val="00AC7AE9"/>
    <w:rsid w:val="00AD28CD"/>
    <w:rsid w:val="00AE3662"/>
    <w:rsid w:val="00AE4F30"/>
    <w:rsid w:val="00AE5C92"/>
    <w:rsid w:val="00AE720C"/>
    <w:rsid w:val="00AF2765"/>
    <w:rsid w:val="00AF6FB0"/>
    <w:rsid w:val="00AF7261"/>
    <w:rsid w:val="00B02376"/>
    <w:rsid w:val="00B06A95"/>
    <w:rsid w:val="00B103B5"/>
    <w:rsid w:val="00B13C13"/>
    <w:rsid w:val="00B275AB"/>
    <w:rsid w:val="00B30232"/>
    <w:rsid w:val="00B31B21"/>
    <w:rsid w:val="00B3760F"/>
    <w:rsid w:val="00B46062"/>
    <w:rsid w:val="00B4758C"/>
    <w:rsid w:val="00B557C9"/>
    <w:rsid w:val="00B63170"/>
    <w:rsid w:val="00B6679B"/>
    <w:rsid w:val="00B667DB"/>
    <w:rsid w:val="00B71C94"/>
    <w:rsid w:val="00B722B8"/>
    <w:rsid w:val="00B734D6"/>
    <w:rsid w:val="00B8074C"/>
    <w:rsid w:val="00B819E2"/>
    <w:rsid w:val="00B87DF7"/>
    <w:rsid w:val="00BA1F38"/>
    <w:rsid w:val="00BA7BCB"/>
    <w:rsid w:val="00BB56B4"/>
    <w:rsid w:val="00BB5A9F"/>
    <w:rsid w:val="00BB78B9"/>
    <w:rsid w:val="00BC6285"/>
    <w:rsid w:val="00BD12DB"/>
    <w:rsid w:val="00BD2681"/>
    <w:rsid w:val="00BD31B1"/>
    <w:rsid w:val="00BD7867"/>
    <w:rsid w:val="00BD7F4E"/>
    <w:rsid w:val="00BE1C26"/>
    <w:rsid w:val="00BE2DAE"/>
    <w:rsid w:val="00BE5250"/>
    <w:rsid w:val="00BE57CD"/>
    <w:rsid w:val="00BF57B6"/>
    <w:rsid w:val="00BF77D0"/>
    <w:rsid w:val="00C01F9B"/>
    <w:rsid w:val="00C041BA"/>
    <w:rsid w:val="00C060EA"/>
    <w:rsid w:val="00C129BE"/>
    <w:rsid w:val="00C14E53"/>
    <w:rsid w:val="00C15E2E"/>
    <w:rsid w:val="00C16F89"/>
    <w:rsid w:val="00C20163"/>
    <w:rsid w:val="00C20895"/>
    <w:rsid w:val="00C213F9"/>
    <w:rsid w:val="00C222F7"/>
    <w:rsid w:val="00C234A4"/>
    <w:rsid w:val="00C23D28"/>
    <w:rsid w:val="00C23E23"/>
    <w:rsid w:val="00C25588"/>
    <w:rsid w:val="00C26334"/>
    <w:rsid w:val="00C32C02"/>
    <w:rsid w:val="00C417DF"/>
    <w:rsid w:val="00C420C8"/>
    <w:rsid w:val="00C42D56"/>
    <w:rsid w:val="00C549E0"/>
    <w:rsid w:val="00C55A2A"/>
    <w:rsid w:val="00C6200B"/>
    <w:rsid w:val="00C64821"/>
    <w:rsid w:val="00C6521D"/>
    <w:rsid w:val="00C66D3A"/>
    <w:rsid w:val="00C815B6"/>
    <w:rsid w:val="00C81A49"/>
    <w:rsid w:val="00C837E5"/>
    <w:rsid w:val="00C873FC"/>
    <w:rsid w:val="00C90A1C"/>
    <w:rsid w:val="00C9177B"/>
    <w:rsid w:val="00CA12B8"/>
    <w:rsid w:val="00CA3694"/>
    <w:rsid w:val="00CB4223"/>
    <w:rsid w:val="00CB47AA"/>
    <w:rsid w:val="00CB59B2"/>
    <w:rsid w:val="00CC0D18"/>
    <w:rsid w:val="00CC32DD"/>
    <w:rsid w:val="00CC6EA3"/>
    <w:rsid w:val="00CD1436"/>
    <w:rsid w:val="00CD165C"/>
    <w:rsid w:val="00CD1C7B"/>
    <w:rsid w:val="00CD467A"/>
    <w:rsid w:val="00CD4F47"/>
    <w:rsid w:val="00CD569F"/>
    <w:rsid w:val="00CD79EC"/>
    <w:rsid w:val="00CE09E6"/>
    <w:rsid w:val="00CE740B"/>
    <w:rsid w:val="00CF6462"/>
    <w:rsid w:val="00D033D2"/>
    <w:rsid w:val="00D03DC3"/>
    <w:rsid w:val="00D10E22"/>
    <w:rsid w:val="00D1450B"/>
    <w:rsid w:val="00D20F17"/>
    <w:rsid w:val="00D215AE"/>
    <w:rsid w:val="00D21B53"/>
    <w:rsid w:val="00D221F8"/>
    <w:rsid w:val="00D2279A"/>
    <w:rsid w:val="00D22E36"/>
    <w:rsid w:val="00D24684"/>
    <w:rsid w:val="00D2698E"/>
    <w:rsid w:val="00D30E34"/>
    <w:rsid w:val="00D379AC"/>
    <w:rsid w:val="00D414D7"/>
    <w:rsid w:val="00D43328"/>
    <w:rsid w:val="00D441A8"/>
    <w:rsid w:val="00D52517"/>
    <w:rsid w:val="00D5540F"/>
    <w:rsid w:val="00D60037"/>
    <w:rsid w:val="00D64AAB"/>
    <w:rsid w:val="00D6527F"/>
    <w:rsid w:val="00D67D4C"/>
    <w:rsid w:val="00D7498C"/>
    <w:rsid w:val="00D761FE"/>
    <w:rsid w:val="00D82BD6"/>
    <w:rsid w:val="00D85173"/>
    <w:rsid w:val="00D85384"/>
    <w:rsid w:val="00D90103"/>
    <w:rsid w:val="00D91C7D"/>
    <w:rsid w:val="00D91DFB"/>
    <w:rsid w:val="00DA4DBE"/>
    <w:rsid w:val="00DB3B63"/>
    <w:rsid w:val="00DB3B77"/>
    <w:rsid w:val="00DB6708"/>
    <w:rsid w:val="00DB747C"/>
    <w:rsid w:val="00DC32C4"/>
    <w:rsid w:val="00DC6F7C"/>
    <w:rsid w:val="00DC7323"/>
    <w:rsid w:val="00DD6BE8"/>
    <w:rsid w:val="00DE05A2"/>
    <w:rsid w:val="00DE7A25"/>
    <w:rsid w:val="00DF1FB1"/>
    <w:rsid w:val="00E009C8"/>
    <w:rsid w:val="00E0688C"/>
    <w:rsid w:val="00E1083E"/>
    <w:rsid w:val="00E20526"/>
    <w:rsid w:val="00E21DAB"/>
    <w:rsid w:val="00E22B8E"/>
    <w:rsid w:val="00E333EC"/>
    <w:rsid w:val="00E370E9"/>
    <w:rsid w:val="00E45A6C"/>
    <w:rsid w:val="00E608A8"/>
    <w:rsid w:val="00E70102"/>
    <w:rsid w:val="00E7716A"/>
    <w:rsid w:val="00E77C46"/>
    <w:rsid w:val="00E83171"/>
    <w:rsid w:val="00E858A5"/>
    <w:rsid w:val="00E944C6"/>
    <w:rsid w:val="00E95531"/>
    <w:rsid w:val="00EA0C33"/>
    <w:rsid w:val="00EB15CB"/>
    <w:rsid w:val="00EC0491"/>
    <w:rsid w:val="00EC18A6"/>
    <w:rsid w:val="00EC49BA"/>
    <w:rsid w:val="00EC72F1"/>
    <w:rsid w:val="00ED3912"/>
    <w:rsid w:val="00ED64DB"/>
    <w:rsid w:val="00ED6A63"/>
    <w:rsid w:val="00ED7B1D"/>
    <w:rsid w:val="00EE2DFB"/>
    <w:rsid w:val="00EE3439"/>
    <w:rsid w:val="00EE604E"/>
    <w:rsid w:val="00EE64FC"/>
    <w:rsid w:val="00EE6774"/>
    <w:rsid w:val="00EF0491"/>
    <w:rsid w:val="00EF29B0"/>
    <w:rsid w:val="00F0121C"/>
    <w:rsid w:val="00F01AB1"/>
    <w:rsid w:val="00F04E37"/>
    <w:rsid w:val="00F06D56"/>
    <w:rsid w:val="00F07145"/>
    <w:rsid w:val="00F1401A"/>
    <w:rsid w:val="00F15854"/>
    <w:rsid w:val="00F1706E"/>
    <w:rsid w:val="00F21166"/>
    <w:rsid w:val="00F21A9D"/>
    <w:rsid w:val="00F2357B"/>
    <w:rsid w:val="00F33D91"/>
    <w:rsid w:val="00F41EAF"/>
    <w:rsid w:val="00F43746"/>
    <w:rsid w:val="00F45DFA"/>
    <w:rsid w:val="00F477A5"/>
    <w:rsid w:val="00F52459"/>
    <w:rsid w:val="00F525AA"/>
    <w:rsid w:val="00F53904"/>
    <w:rsid w:val="00F609A7"/>
    <w:rsid w:val="00F627FB"/>
    <w:rsid w:val="00F63CD7"/>
    <w:rsid w:val="00F66EC6"/>
    <w:rsid w:val="00F6767E"/>
    <w:rsid w:val="00F71A69"/>
    <w:rsid w:val="00F72A1F"/>
    <w:rsid w:val="00F7729F"/>
    <w:rsid w:val="00F80FDE"/>
    <w:rsid w:val="00F90CAC"/>
    <w:rsid w:val="00F922D5"/>
    <w:rsid w:val="00F93B2A"/>
    <w:rsid w:val="00F93E5A"/>
    <w:rsid w:val="00FA2C55"/>
    <w:rsid w:val="00FA6296"/>
    <w:rsid w:val="00FC1562"/>
    <w:rsid w:val="00FC1BC0"/>
    <w:rsid w:val="00FD2028"/>
    <w:rsid w:val="00FD6191"/>
    <w:rsid w:val="00FD7C2B"/>
    <w:rsid w:val="00FE5E71"/>
    <w:rsid w:val="00FF49E3"/>
    <w:rsid w:val="00FF6F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7E300"/>
  <w15:chartTrackingRefBased/>
  <w15:docId w15:val="{1D0611EF-CAC9-4DF3-B168-5DFD2AB35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05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64CB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1626E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09F5"/>
    <w:pPr>
      <w:spacing w:after="0" w:line="240" w:lineRule="auto"/>
    </w:pPr>
  </w:style>
  <w:style w:type="character" w:customStyle="1" w:styleId="Heading3Char">
    <w:name w:val="Heading 3 Char"/>
    <w:basedOn w:val="DefaultParagraphFont"/>
    <w:link w:val="Heading3"/>
    <w:uiPriority w:val="9"/>
    <w:rsid w:val="00264CB2"/>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264CB2"/>
    <w:rPr>
      <w:color w:val="0563C1" w:themeColor="hyperlink"/>
      <w:u w:val="single"/>
    </w:rPr>
  </w:style>
  <w:style w:type="character" w:styleId="UnresolvedMention">
    <w:name w:val="Unresolved Mention"/>
    <w:basedOn w:val="DefaultParagraphFont"/>
    <w:uiPriority w:val="99"/>
    <w:semiHidden/>
    <w:unhideWhenUsed/>
    <w:rsid w:val="00264CB2"/>
    <w:rPr>
      <w:color w:val="605E5C"/>
      <w:shd w:val="clear" w:color="auto" w:fill="E1DFDD"/>
    </w:rPr>
  </w:style>
  <w:style w:type="paragraph" w:styleId="ListParagraph">
    <w:name w:val="List Paragraph"/>
    <w:basedOn w:val="Normal"/>
    <w:uiPriority w:val="34"/>
    <w:qFormat/>
    <w:rsid w:val="00D6527F"/>
    <w:pPr>
      <w:ind w:left="720"/>
      <w:contextualSpacing/>
    </w:pPr>
  </w:style>
  <w:style w:type="paragraph" w:styleId="Header">
    <w:name w:val="header"/>
    <w:basedOn w:val="Normal"/>
    <w:link w:val="HeaderChar"/>
    <w:uiPriority w:val="99"/>
    <w:unhideWhenUsed/>
    <w:rsid w:val="002D42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273"/>
  </w:style>
  <w:style w:type="paragraph" w:styleId="Footer">
    <w:name w:val="footer"/>
    <w:basedOn w:val="Normal"/>
    <w:link w:val="FooterChar"/>
    <w:uiPriority w:val="99"/>
    <w:unhideWhenUsed/>
    <w:rsid w:val="002D42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273"/>
  </w:style>
  <w:style w:type="character" w:styleId="FollowedHyperlink">
    <w:name w:val="FollowedHyperlink"/>
    <w:basedOn w:val="DefaultParagraphFont"/>
    <w:uiPriority w:val="99"/>
    <w:semiHidden/>
    <w:unhideWhenUsed/>
    <w:rsid w:val="004F7EFD"/>
    <w:rPr>
      <w:color w:val="954F72" w:themeColor="followedHyperlink"/>
      <w:u w:val="single"/>
    </w:rPr>
  </w:style>
  <w:style w:type="character" w:customStyle="1" w:styleId="normaltextrun">
    <w:name w:val="normaltextrun"/>
    <w:basedOn w:val="DefaultParagraphFont"/>
    <w:rsid w:val="00343F4C"/>
  </w:style>
  <w:style w:type="character" w:customStyle="1" w:styleId="eop">
    <w:name w:val="eop"/>
    <w:basedOn w:val="DefaultParagraphFont"/>
    <w:rsid w:val="00B4758C"/>
  </w:style>
  <w:style w:type="character" w:customStyle="1" w:styleId="Heading5Char">
    <w:name w:val="Heading 5 Char"/>
    <w:basedOn w:val="DefaultParagraphFont"/>
    <w:link w:val="Heading5"/>
    <w:uiPriority w:val="9"/>
    <w:semiHidden/>
    <w:rsid w:val="001626E9"/>
    <w:rPr>
      <w:rFonts w:asciiTheme="majorHAnsi" w:eastAsiaTheme="majorEastAsia" w:hAnsiTheme="majorHAnsi" w:cstheme="majorBidi"/>
      <w:color w:val="2F5496" w:themeColor="accent1" w:themeShade="BF"/>
    </w:rPr>
  </w:style>
  <w:style w:type="character" w:customStyle="1" w:styleId="Heading1Char">
    <w:name w:val="Heading 1 Char"/>
    <w:basedOn w:val="DefaultParagraphFont"/>
    <w:link w:val="Heading1"/>
    <w:uiPriority w:val="9"/>
    <w:rsid w:val="001E0563"/>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E45A6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208758">
      <w:bodyDiv w:val="1"/>
      <w:marLeft w:val="0"/>
      <w:marRight w:val="0"/>
      <w:marTop w:val="0"/>
      <w:marBottom w:val="0"/>
      <w:divBdr>
        <w:top w:val="none" w:sz="0" w:space="0" w:color="auto"/>
        <w:left w:val="none" w:sz="0" w:space="0" w:color="auto"/>
        <w:bottom w:val="none" w:sz="0" w:space="0" w:color="auto"/>
        <w:right w:val="none" w:sz="0" w:space="0" w:color="auto"/>
      </w:divBdr>
    </w:div>
    <w:div w:id="422455235">
      <w:bodyDiv w:val="1"/>
      <w:marLeft w:val="0"/>
      <w:marRight w:val="0"/>
      <w:marTop w:val="0"/>
      <w:marBottom w:val="0"/>
      <w:divBdr>
        <w:top w:val="none" w:sz="0" w:space="0" w:color="auto"/>
        <w:left w:val="none" w:sz="0" w:space="0" w:color="auto"/>
        <w:bottom w:val="none" w:sz="0" w:space="0" w:color="auto"/>
        <w:right w:val="none" w:sz="0" w:space="0" w:color="auto"/>
      </w:divBdr>
    </w:div>
    <w:div w:id="1326516126">
      <w:bodyDiv w:val="1"/>
      <w:marLeft w:val="0"/>
      <w:marRight w:val="0"/>
      <w:marTop w:val="0"/>
      <w:marBottom w:val="0"/>
      <w:divBdr>
        <w:top w:val="none" w:sz="0" w:space="0" w:color="auto"/>
        <w:left w:val="none" w:sz="0" w:space="0" w:color="auto"/>
        <w:bottom w:val="none" w:sz="0" w:space="0" w:color="auto"/>
        <w:right w:val="none" w:sz="0" w:space="0" w:color="auto"/>
      </w:divBdr>
    </w:div>
    <w:div w:id="1778984549">
      <w:bodyDiv w:val="1"/>
      <w:marLeft w:val="0"/>
      <w:marRight w:val="0"/>
      <w:marTop w:val="0"/>
      <w:marBottom w:val="0"/>
      <w:divBdr>
        <w:top w:val="none" w:sz="0" w:space="0" w:color="auto"/>
        <w:left w:val="none" w:sz="0" w:space="0" w:color="auto"/>
        <w:bottom w:val="none" w:sz="0" w:space="0" w:color="auto"/>
        <w:right w:val="none" w:sz="0" w:space="0" w:color="auto"/>
      </w:divBdr>
    </w:div>
    <w:div w:id="187912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oc.gov/aba/publications/FreeLCGFT/2022-LCGFT-intro.pdf" TargetMode="External"/><Relationship Id="rId13" Type="http://schemas.openxmlformats.org/officeDocument/2006/relationships/hyperlink" Target="https://www.loc.gov/aba/publications/FreeSHM/H1095.pdf" TargetMode="External"/><Relationship Id="rId18" Type="http://schemas.openxmlformats.org/officeDocument/2006/relationships/hyperlink" Target="https://www.loc.gov/aba/pcc/saco/saco-calendar.html" TargetMode="External"/><Relationship Id="rId26" Type="http://schemas.openxmlformats.org/officeDocument/2006/relationships/hyperlink" Target="https://www.loc.gov/aba/pcc/calendar.html" TargetMode="External"/><Relationship Id="rId3" Type="http://schemas.openxmlformats.org/officeDocument/2006/relationships/settings" Target="settings.xml"/><Relationship Id="rId21" Type="http://schemas.openxmlformats.org/officeDocument/2006/relationships/hyperlink" Target="https://www.loc.gov/aba/publications/FreeSHM/H1922.pdf" TargetMode="External"/><Relationship Id="rId7" Type="http://schemas.openxmlformats.org/officeDocument/2006/relationships/hyperlink" Target="https://www.loc.gov/aba/publications/FreeLCGFT/J120.pdf" TargetMode="External"/><Relationship Id="rId12" Type="http://schemas.openxmlformats.org/officeDocument/2006/relationships/hyperlink" Target="https://www.loc.gov/aba/publications/FreeSHM/H2230.pdf" TargetMode="External"/><Relationship Id="rId17" Type="http://schemas.openxmlformats.org/officeDocument/2006/relationships/hyperlink" Target="https://www.loc.gov/aba/pcc/saco/subject-editorial-meetings.html" TargetMode="External"/><Relationship Id="rId25" Type="http://schemas.openxmlformats.org/officeDocument/2006/relationships/hyperlink" Target="https://www.loc.gov/aba/pcc/taskgroup/Test-Official-RDA-Toolkit-final-report.pdf" TargetMode="External"/><Relationship Id="rId2" Type="http://schemas.openxmlformats.org/officeDocument/2006/relationships/styles" Target="styles.xml"/><Relationship Id="rId16" Type="http://schemas.openxmlformats.org/officeDocument/2006/relationships/hyperlink" Target="https://www.loc.gov/aba/cataloging/subject/meetings-change.pdf" TargetMode="External"/><Relationship Id="rId20" Type="http://schemas.openxmlformats.org/officeDocument/2006/relationships/hyperlink" Target="https://www.atalm.org/wp-content/uploads/2024/07/ATALM2024-Preliminary-Program-7.1.24.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que.bourassa@yale.edu" TargetMode="External"/><Relationship Id="rId24" Type="http://schemas.openxmlformats.org/officeDocument/2006/relationships/hyperlink" Target="https://www.loc.gov/aba/pcc/taskgroup/Test-Official-RDA-Toolkit-charge.pdf" TargetMode="External"/><Relationship Id="rId5" Type="http://schemas.openxmlformats.org/officeDocument/2006/relationships/footnotes" Target="footnotes.xml"/><Relationship Id="rId15" Type="http://schemas.openxmlformats.org/officeDocument/2006/relationships/hyperlink" Target="https://www.loc.gov/aba/publications/FreeSHM/freeshm.html" TargetMode="External"/><Relationship Id="rId23" Type="http://schemas.openxmlformats.org/officeDocument/2006/relationships/hyperlink" Target="https://www.loc.gov/aba/publications/FreeLCDGT/freelcdgt.html" TargetMode="External"/><Relationship Id="rId28" Type="http://schemas.openxmlformats.org/officeDocument/2006/relationships/footer" Target="footer1.xml"/><Relationship Id="rId10" Type="http://schemas.openxmlformats.org/officeDocument/2006/relationships/hyperlink" Target="https://www.loc.gov/aba/publications/FreeLCGFT/freelcgft.html" TargetMode="External"/><Relationship Id="rId19" Type="http://schemas.openxmlformats.org/officeDocument/2006/relationships/hyperlink" Target="https://www.loc.gov/aba/cataloging/subject/Evaluation-Headings-Indigenous-Peoples.pdf" TargetMode="External"/><Relationship Id="rId4" Type="http://schemas.openxmlformats.org/officeDocument/2006/relationships/webSettings" Target="webSettings.xml"/><Relationship Id="rId9" Type="http://schemas.openxmlformats.org/officeDocument/2006/relationships/hyperlink" Target="https://lccn.loc.gov/gf2011026337" TargetMode="External"/><Relationship Id="rId14" Type="http://schemas.openxmlformats.org/officeDocument/2006/relationships/hyperlink" Target="https://www.loc.gov/aba/cataloging/subject/H1922-announce.pdf" TargetMode="External"/><Relationship Id="rId22" Type="http://schemas.openxmlformats.org/officeDocument/2006/relationships/hyperlink" Target="https://www.loc.gov/aba/cataloging/subject/H1922-announce.pdf"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1265</Words>
  <Characters>7214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Judge Almeida, Jami</dc:creator>
  <cp:keywords/>
  <dc:description/>
  <cp:lastModifiedBy>Frank, Paul</cp:lastModifiedBy>
  <cp:revision>4</cp:revision>
  <dcterms:created xsi:type="dcterms:W3CDTF">2025-02-12T22:31:00Z</dcterms:created>
  <dcterms:modified xsi:type="dcterms:W3CDTF">2025-02-13T14:33:00Z</dcterms:modified>
</cp:coreProperties>
</file>