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B87B5" w14:textId="3D635872" w:rsidR="00661296" w:rsidRDefault="00661296" w:rsidP="004D1576">
      <w:pPr>
        <w:jc w:val="right"/>
        <w:rPr>
          <w:rFonts w:ascii="Arial" w:hAnsi="Arial" w:cs="Arial"/>
          <w:color w:val="000000"/>
        </w:rPr>
      </w:pPr>
      <w:r>
        <w:rPr>
          <w:rFonts w:ascii="Arial" w:hAnsi="Arial" w:cs="Arial"/>
          <w:color w:val="000000"/>
        </w:rPr>
        <w:t>SAC2</w:t>
      </w:r>
      <w:r w:rsidR="00CB68F6">
        <w:rPr>
          <w:rFonts w:ascii="Arial" w:hAnsi="Arial" w:cs="Arial"/>
          <w:color w:val="000000"/>
        </w:rPr>
        <w:t>4</w:t>
      </w:r>
      <w:r>
        <w:rPr>
          <w:rFonts w:ascii="Arial" w:hAnsi="Arial" w:cs="Arial"/>
          <w:color w:val="000000"/>
        </w:rPr>
        <w:t>-</w:t>
      </w:r>
      <w:r w:rsidR="00CB68F6">
        <w:rPr>
          <w:rFonts w:ascii="Arial" w:hAnsi="Arial" w:cs="Arial"/>
          <w:color w:val="000000"/>
        </w:rPr>
        <w:t>MW</w:t>
      </w:r>
      <w:r w:rsidR="00662A05">
        <w:rPr>
          <w:rFonts w:ascii="Arial" w:hAnsi="Arial" w:cs="Arial"/>
          <w:color w:val="000000"/>
        </w:rPr>
        <w:t>-</w:t>
      </w:r>
      <w:r w:rsidR="004D1576">
        <w:rPr>
          <w:rFonts w:ascii="Arial" w:hAnsi="Arial" w:cs="Arial"/>
          <w:color w:val="000000"/>
        </w:rPr>
        <w:t>DDC_</w:t>
      </w:r>
      <w:r w:rsidR="008B11E9">
        <w:rPr>
          <w:rFonts w:ascii="Arial" w:hAnsi="Arial" w:cs="Arial"/>
          <w:color w:val="000000"/>
        </w:rPr>
        <w:t>LC</w:t>
      </w:r>
    </w:p>
    <w:p w14:paraId="1A11F0D1" w14:textId="77777777" w:rsidR="00661296" w:rsidRPr="00661296" w:rsidRDefault="00661296" w:rsidP="00661296">
      <w:pPr>
        <w:jc w:val="center"/>
        <w:rPr>
          <w:rFonts w:cstheme="minorHAnsi"/>
          <w:b/>
          <w:sz w:val="24"/>
          <w:szCs w:val="24"/>
        </w:rPr>
      </w:pPr>
      <w:r>
        <w:rPr>
          <w:rFonts w:cstheme="minorHAnsi"/>
          <w:b/>
          <w:sz w:val="24"/>
          <w:szCs w:val="24"/>
        </w:rPr>
        <w:t>CORE</w:t>
      </w:r>
      <w:r w:rsidRPr="00661296">
        <w:rPr>
          <w:rFonts w:cstheme="minorHAnsi"/>
          <w:b/>
          <w:sz w:val="24"/>
          <w:szCs w:val="24"/>
        </w:rPr>
        <w:t xml:space="preserve"> Subject Analysis Committee</w:t>
      </w:r>
    </w:p>
    <w:p w14:paraId="3D502F08" w14:textId="77777777" w:rsidR="00661296" w:rsidRPr="00661296" w:rsidRDefault="00661296" w:rsidP="00661296">
      <w:pPr>
        <w:jc w:val="center"/>
        <w:rPr>
          <w:rFonts w:cstheme="minorHAnsi"/>
          <w:bCs/>
          <w:sz w:val="24"/>
          <w:szCs w:val="24"/>
        </w:rPr>
      </w:pPr>
      <w:r w:rsidRPr="00661296">
        <w:rPr>
          <w:rFonts w:cstheme="minorHAnsi"/>
          <w:bCs/>
          <w:sz w:val="24"/>
          <w:szCs w:val="24"/>
        </w:rPr>
        <w:t>Report of the Library of Congress Dewey Program</w:t>
      </w:r>
    </w:p>
    <w:p w14:paraId="48292D15" w14:textId="77777777" w:rsidR="00661296" w:rsidRPr="00661296" w:rsidRDefault="00661296" w:rsidP="00BD273F">
      <w:pPr>
        <w:jc w:val="center"/>
        <w:rPr>
          <w:rFonts w:cstheme="minorHAnsi"/>
          <w:bCs/>
          <w:sz w:val="24"/>
          <w:szCs w:val="24"/>
        </w:rPr>
      </w:pPr>
      <w:r w:rsidRPr="00661296">
        <w:rPr>
          <w:rFonts w:cstheme="minorHAnsi"/>
          <w:bCs/>
          <w:sz w:val="24"/>
          <w:szCs w:val="24"/>
        </w:rPr>
        <w:t xml:space="preserve">Prepared by </w:t>
      </w:r>
      <w:r w:rsidR="00BD273F">
        <w:rPr>
          <w:rFonts w:cstheme="minorHAnsi"/>
          <w:bCs/>
          <w:sz w:val="24"/>
          <w:szCs w:val="24"/>
        </w:rPr>
        <w:t>Camilla Williams</w:t>
      </w:r>
      <w:r w:rsidRPr="00661296">
        <w:rPr>
          <w:rFonts w:cstheme="minorHAnsi"/>
          <w:bCs/>
          <w:sz w:val="24"/>
          <w:szCs w:val="24"/>
        </w:rPr>
        <w:t>, LC Dewey Program Liaison</w:t>
      </w:r>
    </w:p>
    <w:p w14:paraId="6EB35D09" w14:textId="77777777" w:rsidR="00661296" w:rsidRPr="0002294D" w:rsidRDefault="00661296" w:rsidP="00661296">
      <w:pPr>
        <w:jc w:val="center"/>
        <w:rPr>
          <w:rFonts w:cstheme="minorHAnsi"/>
          <w:b/>
          <w:bCs/>
          <w:sz w:val="24"/>
          <w:szCs w:val="24"/>
        </w:rPr>
      </w:pPr>
    </w:p>
    <w:p w14:paraId="72051D60" w14:textId="77777777" w:rsidR="00661296" w:rsidRPr="0002294D" w:rsidRDefault="00661296" w:rsidP="00661296">
      <w:pPr>
        <w:spacing w:line="240" w:lineRule="auto"/>
        <w:rPr>
          <w:rFonts w:cstheme="minorHAnsi"/>
          <w:sz w:val="24"/>
          <w:szCs w:val="24"/>
        </w:rPr>
      </w:pPr>
      <w:r w:rsidRPr="0002294D">
        <w:rPr>
          <w:rFonts w:cstheme="minorHAnsi"/>
          <w:b/>
          <w:bCs/>
          <w:sz w:val="24"/>
          <w:szCs w:val="24"/>
        </w:rPr>
        <w:t>Dewey Statistical Information</w:t>
      </w:r>
    </w:p>
    <w:p w14:paraId="4944D67F" w14:textId="0584F719" w:rsidR="00661296" w:rsidRPr="0002294D" w:rsidRDefault="00CB68F6" w:rsidP="00C70F85">
      <w:pPr>
        <w:spacing w:line="240" w:lineRule="auto"/>
        <w:rPr>
          <w:rFonts w:cstheme="minorHAnsi"/>
          <w:sz w:val="24"/>
          <w:szCs w:val="24"/>
        </w:rPr>
      </w:pPr>
      <w:r>
        <w:rPr>
          <w:rFonts w:cstheme="minorHAnsi"/>
          <w:sz w:val="24"/>
          <w:szCs w:val="24"/>
        </w:rPr>
        <w:t>In</w:t>
      </w:r>
      <w:r w:rsidR="00D92E10">
        <w:rPr>
          <w:rFonts w:cstheme="minorHAnsi"/>
          <w:sz w:val="24"/>
          <w:szCs w:val="24"/>
        </w:rPr>
        <w:t xml:space="preserve"> FY202</w:t>
      </w:r>
      <w:r w:rsidR="00633FAB">
        <w:rPr>
          <w:rFonts w:cstheme="minorHAnsi"/>
          <w:sz w:val="24"/>
          <w:szCs w:val="24"/>
        </w:rPr>
        <w:t>3</w:t>
      </w:r>
      <w:r w:rsidR="00D92E10">
        <w:rPr>
          <w:rFonts w:cstheme="minorHAnsi"/>
          <w:sz w:val="24"/>
          <w:szCs w:val="24"/>
        </w:rPr>
        <w:t xml:space="preserve">, the Library of Congress </w:t>
      </w:r>
      <w:r w:rsidR="00D92E10" w:rsidRPr="004C63B4">
        <w:rPr>
          <w:rFonts w:cstheme="minorHAnsi"/>
          <w:sz w:val="24"/>
          <w:szCs w:val="24"/>
        </w:rPr>
        <w:t xml:space="preserve">assigned </w:t>
      </w:r>
      <w:r w:rsidR="00430FB1">
        <w:rPr>
          <w:rFonts w:cstheme="minorHAnsi"/>
          <w:sz w:val="24"/>
          <w:szCs w:val="24"/>
        </w:rPr>
        <w:t>131,336</w:t>
      </w:r>
      <w:r w:rsidR="00D92E10" w:rsidRPr="004C63B4">
        <w:rPr>
          <w:rFonts w:cstheme="minorHAnsi"/>
          <w:sz w:val="24"/>
          <w:szCs w:val="24"/>
        </w:rPr>
        <w:t xml:space="preserve"> Dewey Decimal Classification (DDC) numbers to monograph and serial bibliographic records</w:t>
      </w:r>
      <w:r w:rsidR="00067846">
        <w:rPr>
          <w:rFonts w:cstheme="minorHAnsi"/>
          <w:sz w:val="24"/>
          <w:szCs w:val="24"/>
        </w:rPr>
        <w:t>, surpassing internal targets of 95,000</w:t>
      </w:r>
      <w:r w:rsidR="00D92E10" w:rsidRPr="004C63B4">
        <w:rPr>
          <w:rFonts w:cstheme="minorHAnsi"/>
          <w:sz w:val="24"/>
          <w:szCs w:val="24"/>
        </w:rPr>
        <w:t xml:space="preserve">. </w:t>
      </w:r>
      <w:r w:rsidR="0009404A" w:rsidRPr="0002294D">
        <w:rPr>
          <w:rFonts w:cstheme="minorHAnsi"/>
          <w:sz w:val="24"/>
          <w:szCs w:val="24"/>
        </w:rPr>
        <w:t xml:space="preserve">Dewey classifiers assigned </w:t>
      </w:r>
      <w:r w:rsidR="00430FB1">
        <w:rPr>
          <w:rFonts w:cstheme="minorHAnsi"/>
          <w:sz w:val="24"/>
          <w:szCs w:val="24"/>
        </w:rPr>
        <w:t>33,741</w:t>
      </w:r>
      <w:r w:rsidR="0009404A" w:rsidRPr="0002294D">
        <w:rPr>
          <w:rFonts w:cstheme="minorHAnsi"/>
          <w:sz w:val="24"/>
          <w:szCs w:val="24"/>
        </w:rPr>
        <w:t xml:space="preserve"> DDC to print and CIP records.</w:t>
      </w:r>
      <w:r w:rsidR="00EF5D9F">
        <w:rPr>
          <w:rFonts w:cstheme="minorHAnsi"/>
          <w:sz w:val="24"/>
          <w:szCs w:val="24"/>
        </w:rPr>
        <w:t xml:space="preserve"> </w:t>
      </w:r>
      <w:r w:rsidR="00430FB1">
        <w:rPr>
          <w:rFonts w:cstheme="minorHAnsi"/>
          <w:sz w:val="24"/>
          <w:szCs w:val="24"/>
        </w:rPr>
        <w:t>32,510</w:t>
      </w:r>
      <w:r w:rsidR="00EF5D9F">
        <w:rPr>
          <w:rFonts w:cstheme="minorHAnsi"/>
          <w:sz w:val="24"/>
          <w:szCs w:val="24"/>
        </w:rPr>
        <w:t xml:space="preserve"> CIP e-book records were assigned DDC.</w:t>
      </w:r>
      <w:r w:rsidR="0009404A" w:rsidRPr="0002294D">
        <w:rPr>
          <w:rFonts w:cstheme="minorHAnsi"/>
          <w:sz w:val="24"/>
          <w:szCs w:val="24"/>
        </w:rPr>
        <w:t xml:space="preserve"> </w:t>
      </w:r>
      <w:r w:rsidR="00661296" w:rsidRPr="0002294D">
        <w:rPr>
          <w:rFonts w:cstheme="minorHAnsi"/>
          <w:sz w:val="24"/>
          <w:szCs w:val="24"/>
        </w:rPr>
        <w:t xml:space="preserve">Catalogers assigned </w:t>
      </w:r>
      <w:r w:rsidR="00430FB1">
        <w:rPr>
          <w:rFonts w:cstheme="minorHAnsi"/>
          <w:sz w:val="24"/>
          <w:szCs w:val="24"/>
        </w:rPr>
        <w:t>4,673</w:t>
      </w:r>
      <w:r w:rsidR="00661296" w:rsidRPr="0002294D">
        <w:rPr>
          <w:rFonts w:cstheme="minorHAnsi"/>
          <w:sz w:val="24"/>
          <w:szCs w:val="24"/>
        </w:rPr>
        <w:t xml:space="preserve"> DDC to monograph records using AutoDewey.  The copy cataloging process resulted in </w:t>
      </w:r>
      <w:r w:rsidR="00430FB1">
        <w:rPr>
          <w:rFonts w:cstheme="minorHAnsi"/>
          <w:sz w:val="24"/>
          <w:szCs w:val="24"/>
        </w:rPr>
        <w:t>55,178</w:t>
      </w:r>
      <w:r w:rsidR="00661296" w:rsidRPr="0002294D">
        <w:rPr>
          <w:rFonts w:cstheme="minorHAnsi"/>
          <w:sz w:val="24"/>
          <w:szCs w:val="24"/>
        </w:rPr>
        <w:t xml:space="preserve"> copied DDC numbers (i.e., 082, second indicator 4) in print monograph records. CIP Partnership Program libraries—Northwestern University, Queens Library, the U.S. Government Publishing Office, </w:t>
      </w:r>
      <w:r w:rsidR="004B39EE">
        <w:rPr>
          <w:rFonts w:cstheme="minorHAnsi"/>
          <w:sz w:val="24"/>
          <w:szCs w:val="24"/>
        </w:rPr>
        <w:t xml:space="preserve">and </w:t>
      </w:r>
      <w:r w:rsidR="00661296" w:rsidRPr="0002294D">
        <w:rPr>
          <w:rFonts w:cstheme="minorHAnsi"/>
          <w:sz w:val="24"/>
          <w:szCs w:val="24"/>
        </w:rPr>
        <w:t xml:space="preserve">New Mexico State Library—assigned </w:t>
      </w:r>
      <w:r w:rsidR="00430FB1">
        <w:rPr>
          <w:rFonts w:cstheme="minorHAnsi"/>
          <w:sz w:val="24"/>
          <w:szCs w:val="24"/>
        </w:rPr>
        <w:t>711</w:t>
      </w:r>
      <w:r w:rsidR="00661296" w:rsidRPr="0002294D">
        <w:rPr>
          <w:rFonts w:cstheme="minorHAnsi"/>
          <w:sz w:val="24"/>
          <w:szCs w:val="24"/>
        </w:rPr>
        <w:t xml:space="preserve"> Dewey numbers to the bibliographic records they created for the CIP Program. Finally, the U.S. ISSN Center and other serials librarians assigned </w:t>
      </w:r>
      <w:r w:rsidR="00430FB1">
        <w:rPr>
          <w:rFonts w:cstheme="minorHAnsi"/>
          <w:sz w:val="24"/>
          <w:szCs w:val="24"/>
        </w:rPr>
        <w:t>4,523</w:t>
      </w:r>
      <w:r w:rsidR="00661296" w:rsidRPr="0002294D">
        <w:rPr>
          <w:rFonts w:cstheme="minorHAnsi"/>
          <w:sz w:val="24"/>
          <w:szCs w:val="24"/>
        </w:rPr>
        <w:t xml:space="preserve"> DDC to ISSN records. </w:t>
      </w:r>
    </w:p>
    <w:p w14:paraId="57034D7D" w14:textId="6A2E8B4F" w:rsidR="008B11E9" w:rsidRDefault="00661296" w:rsidP="00C70F85">
      <w:pPr>
        <w:spacing w:line="240" w:lineRule="auto"/>
        <w:rPr>
          <w:rFonts w:cstheme="minorHAnsi"/>
          <w:sz w:val="24"/>
          <w:szCs w:val="24"/>
        </w:rPr>
      </w:pPr>
      <w:r w:rsidRPr="0002294D">
        <w:rPr>
          <w:rFonts w:cstheme="minorHAnsi"/>
          <w:sz w:val="24"/>
          <w:szCs w:val="24"/>
        </w:rPr>
        <w:t xml:space="preserve">In addition to DDC assignment, Dewey classifiers added Library of Congress Classification to </w:t>
      </w:r>
      <w:r w:rsidR="00430FB1">
        <w:rPr>
          <w:rFonts w:cstheme="minorHAnsi"/>
          <w:sz w:val="24"/>
          <w:szCs w:val="24"/>
        </w:rPr>
        <w:t>830</w:t>
      </w:r>
      <w:r w:rsidRPr="0002294D">
        <w:rPr>
          <w:rFonts w:cstheme="minorHAnsi"/>
          <w:sz w:val="24"/>
          <w:szCs w:val="24"/>
        </w:rPr>
        <w:t xml:space="preserve"> CIPs cataloged by the National Library of Medicine. </w:t>
      </w:r>
    </w:p>
    <w:p w14:paraId="09191297" w14:textId="0902E05C" w:rsidR="00B1162B" w:rsidRPr="00B1162B" w:rsidRDefault="005F6AF2" w:rsidP="00C70F85">
      <w:pPr>
        <w:spacing w:line="240" w:lineRule="auto"/>
        <w:rPr>
          <w:rFonts w:cstheme="minorHAnsi"/>
          <w:b/>
          <w:bCs/>
          <w:sz w:val="24"/>
          <w:szCs w:val="24"/>
        </w:rPr>
      </w:pPr>
      <w:r>
        <w:rPr>
          <w:rFonts w:cstheme="minorHAnsi"/>
          <w:b/>
          <w:bCs/>
          <w:sz w:val="24"/>
          <w:szCs w:val="24"/>
        </w:rPr>
        <w:t>Staffing</w:t>
      </w:r>
    </w:p>
    <w:p w14:paraId="70E5B241" w14:textId="291F94E8" w:rsidR="00661296" w:rsidRDefault="008B11E9" w:rsidP="00C70F85">
      <w:pPr>
        <w:spacing w:line="240" w:lineRule="auto"/>
        <w:rPr>
          <w:sz w:val="24"/>
          <w:szCs w:val="24"/>
        </w:rPr>
      </w:pPr>
      <w:r w:rsidRPr="00D763E3">
        <w:rPr>
          <w:rFonts w:cstheme="minorHAnsi"/>
          <w:sz w:val="24"/>
          <w:szCs w:val="24"/>
        </w:rPr>
        <w:t xml:space="preserve">The </w:t>
      </w:r>
      <w:r w:rsidR="005F6AF2" w:rsidRPr="00D763E3">
        <w:rPr>
          <w:rFonts w:cstheme="minorHAnsi"/>
          <w:sz w:val="24"/>
          <w:szCs w:val="24"/>
        </w:rPr>
        <w:t xml:space="preserve">Dewey Program </w:t>
      </w:r>
      <w:r w:rsidR="009616E3">
        <w:rPr>
          <w:rFonts w:cstheme="minorHAnsi"/>
          <w:sz w:val="24"/>
          <w:szCs w:val="24"/>
        </w:rPr>
        <w:t>is hosting</w:t>
      </w:r>
      <w:r w:rsidR="005F6AF2" w:rsidRPr="00D763E3">
        <w:rPr>
          <w:rFonts w:cstheme="minorHAnsi"/>
          <w:sz w:val="24"/>
          <w:szCs w:val="24"/>
        </w:rPr>
        <w:t xml:space="preserve"> a Librarian-in-Residence </w:t>
      </w:r>
      <w:r w:rsidR="00D763E3">
        <w:rPr>
          <w:rFonts w:cstheme="minorHAnsi"/>
          <w:sz w:val="24"/>
          <w:szCs w:val="24"/>
        </w:rPr>
        <w:t>(</w:t>
      </w:r>
      <w:proofErr w:type="spellStart"/>
      <w:r w:rsidR="00D763E3">
        <w:rPr>
          <w:rFonts w:cstheme="minorHAnsi"/>
          <w:sz w:val="24"/>
          <w:szCs w:val="24"/>
        </w:rPr>
        <w:t>LiR</w:t>
      </w:r>
      <w:proofErr w:type="spellEnd"/>
      <w:r w:rsidR="00D763E3">
        <w:rPr>
          <w:rFonts w:cstheme="minorHAnsi"/>
          <w:sz w:val="24"/>
          <w:szCs w:val="24"/>
        </w:rPr>
        <w:t>)</w:t>
      </w:r>
      <w:r w:rsidR="00430FB1">
        <w:rPr>
          <w:rFonts w:cstheme="minorHAnsi"/>
          <w:sz w:val="24"/>
          <w:szCs w:val="24"/>
        </w:rPr>
        <w:t>, Sarah DeHaan,</w:t>
      </w:r>
      <w:r w:rsidR="009616E3">
        <w:rPr>
          <w:rFonts w:cstheme="minorHAnsi"/>
          <w:sz w:val="24"/>
          <w:szCs w:val="24"/>
        </w:rPr>
        <w:t xml:space="preserve"> initially</w:t>
      </w:r>
      <w:r w:rsidR="00D763E3">
        <w:rPr>
          <w:rFonts w:cstheme="minorHAnsi"/>
          <w:sz w:val="24"/>
          <w:szCs w:val="24"/>
        </w:rPr>
        <w:t xml:space="preserve"> </w:t>
      </w:r>
      <w:r w:rsidR="00C70F85">
        <w:rPr>
          <w:rFonts w:cstheme="minorHAnsi"/>
          <w:sz w:val="24"/>
          <w:szCs w:val="24"/>
        </w:rPr>
        <w:t>for the period</w:t>
      </w:r>
      <w:r w:rsidR="005F6AF2" w:rsidRPr="00D763E3">
        <w:rPr>
          <w:rFonts w:cstheme="minorHAnsi"/>
          <w:sz w:val="24"/>
          <w:szCs w:val="24"/>
        </w:rPr>
        <w:t xml:space="preserve"> </w:t>
      </w:r>
      <w:r w:rsidR="009616E3">
        <w:rPr>
          <w:rFonts w:cstheme="minorHAnsi"/>
          <w:sz w:val="24"/>
          <w:szCs w:val="24"/>
        </w:rPr>
        <w:t xml:space="preserve">of </w:t>
      </w:r>
      <w:r w:rsidR="005F6AF2" w:rsidRPr="00D763E3">
        <w:rPr>
          <w:rFonts w:cstheme="minorHAnsi"/>
          <w:sz w:val="24"/>
          <w:szCs w:val="24"/>
        </w:rPr>
        <w:t xml:space="preserve">June 20 </w:t>
      </w:r>
      <w:r w:rsidR="009616E3">
        <w:rPr>
          <w:rFonts w:cstheme="minorHAnsi"/>
          <w:sz w:val="24"/>
          <w:szCs w:val="24"/>
        </w:rPr>
        <w:t>–</w:t>
      </w:r>
      <w:r w:rsidR="005F6AF2" w:rsidRPr="00D763E3">
        <w:rPr>
          <w:rFonts w:cstheme="minorHAnsi"/>
          <w:sz w:val="24"/>
          <w:szCs w:val="24"/>
        </w:rPr>
        <w:t xml:space="preserve"> </w:t>
      </w:r>
      <w:r w:rsidR="009616E3">
        <w:rPr>
          <w:rFonts w:cstheme="minorHAnsi"/>
          <w:sz w:val="24"/>
          <w:szCs w:val="24"/>
        </w:rPr>
        <w:t xml:space="preserve">December 15, 2023. Her residence was </w:t>
      </w:r>
      <w:r w:rsidR="00430FB1">
        <w:rPr>
          <w:rFonts w:cstheme="minorHAnsi"/>
          <w:sz w:val="24"/>
          <w:szCs w:val="24"/>
        </w:rPr>
        <w:t xml:space="preserve">recently </w:t>
      </w:r>
      <w:r w:rsidR="009616E3">
        <w:rPr>
          <w:rFonts w:cstheme="minorHAnsi"/>
          <w:sz w:val="24"/>
          <w:szCs w:val="24"/>
        </w:rPr>
        <w:t>extended to April 1</w:t>
      </w:r>
      <w:r w:rsidR="00102395">
        <w:rPr>
          <w:rFonts w:cstheme="minorHAnsi"/>
          <w:sz w:val="24"/>
          <w:szCs w:val="24"/>
        </w:rPr>
        <w:t>3</w:t>
      </w:r>
      <w:r w:rsidR="009616E3">
        <w:rPr>
          <w:rFonts w:cstheme="minorHAnsi"/>
          <w:sz w:val="24"/>
          <w:szCs w:val="24"/>
        </w:rPr>
        <w:t>, 2024</w:t>
      </w:r>
      <w:r w:rsidR="005F6AF2" w:rsidRPr="00D763E3">
        <w:rPr>
          <w:rFonts w:cstheme="minorHAnsi"/>
          <w:sz w:val="24"/>
          <w:szCs w:val="24"/>
        </w:rPr>
        <w:t xml:space="preserve">. </w:t>
      </w:r>
      <w:r w:rsidR="00430FB1">
        <w:rPr>
          <w:sz w:val="24"/>
          <w:szCs w:val="24"/>
        </w:rPr>
        <w:t>Sarah</w:t>
      </w:r>
      <w:r w:rsidR="00D763E3" w:rsidRPr="00D763E3">
        <w:rPr>
          <w:sz w:val="24"/>
          <w:szCs w:val="24"/>
        </w:rPr>
        <w:t xml:space="preserve"> </w:t>
      </w:r>
      <w:r w:rsidR="00430FB1">
        <w:rPr>
          <w:sz w:val="24"/>
          <w:szCs w:val="24"/>
        </w:rPr>
        <w:t>is being</w:t>
      </w:r>
      <w:r w:rsidR="00E90D98">
        <w:rPr>
          <w:sz w:val="24"/>
          <w:szCs w:val="24"/>
        </w:rPr>
        <w:t xml:space="preserve"> trained </w:t>
      </w:r>
      <w:r w:rsidR="00430FB1">
        <w:rPr>
          <w:sz w:val="24"/>
          <w:szCs w:val="24"/>
        </w:rPr>
        <w:t>to assig</w:t>
      </w:r>
      <w:r w:rsidR="00E90D98">
        <w:rPr>
          <w:sz w:val="24"/>
          <w:szCs w:val="24"/>
        </w:rPr>
        <w:t xml:space="preserve">n </w:t>
      </w:r>
      <w:r w:rsidR="00D763E3" w:rsidRPr="00D763E3">
        <w:rPr>
          <w:sz w:val="24"/>
          <w:szCs w:val="24"/>
        </w:rPr>
        <w:t xml:space="preserve">Dewey Decimal Classification (DDC) </w:t>
      </w:r>
      <w:r w:rsidR="00430FB1">
        <w:rPr>
          <w:sz w:val="24"/>
          <w:szCs w:val="24"/>
        </w:rPr>
        <w:t xml:space="preserve">in the following areas: computer science, cooking, education, and history. She is adding </w:t>
      </w:r>
      <w:r w:rsidR="00E90D98">
        <w:rPr>
          <w:sz w:val="24"/>
          <w:szCs w:val="24"/>
        </w:rPr>
        <w:t xml:space="preserve">DDC </w:t>
      </w:r>
      <w:r w:rsidR="00D763E3" w:rsidRPr="00D763E3">
        <w:rPr>
          <w:sz w:val="24"/>
          <w:szCs w:val="24"/>
        </w:rPr>
        <w:t xml:space="preserve">numbers to bibliographic records cataloged as part of the Cataloging in Publication (CIP) Program. As a part of this assignment, </w:t>
      </w:r>
      <w:r w:rsidR="00430FB1">
        <w:rPr>
          <w:sz w:val="24"/>
          <w:szCs w:val="24"/>
        </w:rPr>
        <w:t>Sarah</w:t>
      </w:r>
      <w:r w:rsidR="00D763E3" w:rsidRPr="00D763E3">
        <w:rPr>
          <w:sz w:val="24"/>
          <w:szCs w:val="24"/>
        </w:rPr>
        <w:t xml:space="preserve"> </w:t>
      </w:r>
      <w:r w:rsidR="009616E3">
        <w:rPr>
          <w:sz w:val="24"/>
          <w:szCs w:val="24"/>
        </w:rPr>
        <w:t>is using</w:t>
      </w:r>
      <w:r w:rsidR="00D763E3" w:rsidRPr="00D763E3">
        <w:rPr>
          <w:sz w:val="24"/>
          <w:szCs w:val="24"/>
        </w:rPr>
        <w:t xml:space="preserve"> the PrePub Book Link (PPBL) system for daily work assignments and update the bibliographic records. </w:t>
      </w:r>
      <w:r w:rsidR="00430FB1">
        <w:rPr>
          <w:sz w:val="24"/>
          <w:szCs w:val="24"/>
        </w:rPr>
        <w:t>Sarah</w:t>
      </w:r>
      <w:r w:rsidR="00D763E3" w:rsidRPr="00D763E3">
        <w:rPr>
          <w:sz w:val="24"/>
          <w:szCs w:val="24"/>
        </w:rPr>
        <w:t xml:space="preserve"> </w:t>
      </w:r>
      <w:r w:rsidR="00430FB1">
        <w:rPr>
          <w:sz w:val="24"/>
          <w:szCs w:val="24"/>
        </w:rPr>
        <w:t>uses</w:t>
      </w:r>
      <w:r w:rsidR="00D763E3" w:rsidRPr="00D763E3">
        <w:rPr>
          <w:sz w:val="24"/>
          <w:szCs w:val="24"/>
        </w:rPr>
        <w:t xml:space="preserve"> WebDewey online classification tool and participate</w:t>
      </w:r>
      <w:r w:rsidR="009616E3">
        <w:rPr>
          <w:sz w:val="24"/>
          <w:szCs w:val="24"/>
        </w:rPr>
        <w:t>s</w:t>
      </w:r>
      <w:r w:rsidR="00D763E3" w:rsidRPr="00D763E3">
        <w:rPr>
          <w:sz w:val="24"/>
          <w:szCs w:val="24"/>
        </w:rPr>
        <w:t xml:space="preserve"> in weekly </w:t>
      </w:r>
      <w:r w:rsidR="00D763E3">
        <w:rPr>
          <w:sz w:val="24"/>
          <w:szCs w:val="24"/>
        </w:rPr>
        <w:t xml:space="preserve">editorial </w:t>
      </w:r>
      <w:r w:rsidR="00D763E3" w:rsidRPr="00D763E3">
        <w:rPr>
          <w:sz w:val="24"/>
          <w:szCs w:val="24"/>
        </w:rPr>
        <w:t xml:space="preserve">meetings to discuss updates to the </w:t>
      </w:r>
      <w:r w:rsidR="00D763E3">
        <w:rPr>
          <w:sz w:val="24"/>
          <w:szCs w:val="24"/>
        </w:rPr>
        <w:t>DDC</w:t>
      </w:r>
      <w:r w:rsidR="00D763E3" w:rsidRPr="00D763E3">
        <w:rPr>
          <w:sz w:val="24"/>
          <w:szCs w:val="24"/>
        </w:rPr>
        <w:t xml:space="preserve">. </w:t>
      </w:r>
    </w:p>
    <w:p w14:paraId="1C22BEC4" w14:textId="77777777" w:rsidR="0092632E" w:rsidRPr="007B16DD" w:rsidRDefault="0092632E" w:rsidP="00C70F85">
      <w:pPr>
        <w:spacing w:line="240" w:lineRule="auto"/>
        <w:rPr>
          <w:rFonts w:cstheme="minorHAnsi"/>
          <w:b/>
          <w:bCs/>
          <w:sz w:val="24"/>
          <w:szCs w:val="24"/>
        </w:rPr>
      </w:pPr>
      <w:r w:rsidRPr="007B16DD">
        <w:rPr>
          <w:rFonts w:cstheme="minorHAnsi"/>
          <w:b/>
          <w:bCs/>
          <w:sz w:val="24"/>
          <w:szCs w:val="24"/>
        </w:rPr>
        <w:t>Dewey Classification beyond the CIP and Dewey Section</w:t>
      </w:r>
    </w:p>
    <w:p w14:paraId="7BFD1348" w14:textId="77777777" w:rsidR="0092632E" w:rsidRPr="004C63B4" w:rsidRDefault="0092632E" w:rsidP="00C70F85">
      <w:pPr>
        <w:spacing w:after="0" w:line="240" w:lineRule="auto"/>
        <w:rPr>
          <w:rFonts w:eastAsia="Times New Roman" w:cstheme="minorHAnsi"/>
          <w:sz w:val="24"/>
          <w:szCs w:val="24"/>
        </w:rPr>
      </w:pPr>
      <w:r>
        <w:rPr>
          <w:rFonts w:eastAsia="Times New Roman" w:cstheme="minorHAnsi"/>
          <w:sz w:val="24"/>
          <w:szCs w:val="24"/>
        </w:rPr>
        <w:t>Several catalogers in the U.S. Programs, Law, and Literature Division, U.S. Arts, Sciences, and Humanities Division, and Music Division continue to assign DDC to the works they catalog. The catalogers have critical expertise in the social sciences, bio-medical sciences, political science, history, naval and military sciences, law, music, and literature.</w:t>
      </w:r>
      <w:r w:rsidRPr="005A7A83">
        <w:rPr>
          <w:rFonts w:cstheme="minorHAnsi"/>
          <w:sz w:val="24"/>
          <w:szCs w:val="24"/>
        </w:rPr>
        <w:t xml:space="preserve"> </w:t>
      </w:r>
    </w:p>
    <w:p w14:paraId="5F522965" w14:textId="3D0FA466" w:rsidR="004B39EE" w:rsidRPr="00F60CEF" w:rsidRDefault="004B39EE" w:rsidP="00C70F85">
      <w:pPr>
        <w:spacing w:line="240" w:lineRule="auto"/>
        <w:rPr>
          <w:rFonts w:cstheme="minorHAnsi"/>
          <w:sz w:val="24"/>
          <w:szCs w:val="24"/>
        </w:rPr>
      </w:pPr>
    </w:p>
    <w:sectPr w:rsidR="004B39EE" w:rsidRPr="00F60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296"/>
    <w:rsid w:val="0002294D"/>
    <w:rsid w:val="00067846"/>
    <w:rsid w:val="0009404A"/>
    <w:rsid w:val="000C088B"/>
    <w:rsid w:val="00102395"/>
    <w:rsid w:val="00197C27"/>
    <w:rsid w:val="002D4D2F"/>
    <w:rsid w:val="00430FB1"/>
    <w:rsid w:val="004B39EE"/>
    <w:rsid w:val="004D1576"/>
    <w:rsid w:val="004E0D1F"/>
    <w:rsid w:val="004F00FB"/>
    <w:rsid w:val="005F6AF2"/>
    <w:rsid w:val="00633FAB"/>
    <w:rsid w:val="00661296"/>
    <w:rsid w:val="00662A05"/>
    <w:rsid w:val="00680E2A"/>
    <w:rsid w:val="006B2036"/>
    <w:rsid w:val="0080197C"/>
    <w:rsid w:val="008231F4"/>
    <w:rsid w:val="00856CBF"/>
    <w:rsid w:val="008B11E9"/>
    <w:rsid w:val="008C7FAD"/>
    <w:rsid w:val="008D67CB"/>
    <w:rsid w:val="0092632E"/>
    <w:rsid w:val="009616E3"/>
    <w:rsid w:val="00A419BF"/>
    <w:rsid w:val="00B07547"/>
    <w:rsid w:val="00B1162B"/>
    <w:rsid w:val="00BD273F"/>
    <w:rsid w:val="00BE2D9B"/>
    <w:rsid w:val="00BE3974"/>
    <w:rsid w:val="00C70F85"/>
    <w:rsid w:val="00CB68F6"/>
    <w:rsid w:val="00CE0C8E"/>
    <w:rsid w:val="00D763E3"/>
    <w:rsid w:val="00D92E10"/>
    <w:rsid w:val="00E15A67"/>
    <w:rsid w:val="00E90D98"/>
    <w:rsid w:val="00EF5D9F"/>
    <w:rsid w:val="00F0138E"/>
    <w:rsid w:val="00F60C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B589"/>
  <w15:chartTrackingRefBased/>
  <w15:docId w15:val="{8E434984-7C66-42A3-BCA5-C9D3C6A3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2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D9F"/>
    <w:rPr>
      <w:rFonts w:ascii="Segoe UI" w:hAnsi="Segoe UI" w:cs="Segoe UI"/>
      <w:sz w:val="18"/>
      <w:szCs w:val="18"/>
    </w:rPr>
  </w:style>
  <w:style w:type="character" w:styleId="CommentReference">
    <w:name w:val="annotation reference"/>
    <w:basedOn w:val="DefaultParagraphFont"/>
    <w:uiPriority w:val="99"/>
    <w:semiHidden/>
    <w:unhideWhenUsed/>
    <w:rsid w:val="00EF5D9F"/>
    <w:rPr>
      <w:sz w:val="16"/>
      <w:szCs w:val="16"/>
    </w:rPr>
  </w:style>
  <w:style w:type="paragraph" w:styleId="CommentText">
    <w:name w:val="annotation text"/>
    <w:basedOn w:val="Normal"/>
    <w:link w:val="CommentTextChar"/>
    <w:uiPriority w:val="99"/>
    <w:semiHidden/>
    <w:unhideWhenUsed/>
    <w:rsid w:val="00EF5D9F"/>
    <w:pPr>
      <w:spacing w:line="240" w:lineRule="auto"/>
    </w:pPr>
    <w:rPr>
      <w:sz w:val="20"/>
      <w:szCs w:val="20"/>
    </w:rPr>
  </w:style>
  <w:style w:type="character" w:customStyle="1" w:styleId="CommentTextChar">
    <w:name w:val="Comment Text Char"/>
    <w:basedOn w:val="DefaultParagraphFont"/>
    <w:link w:val="CommentText"/>
    <w:uiPriority w:val="99"/>
    <w:semiHidden/>
    <w:rsid w:val="00EF5D9F"/>
    <w:rPr>
      <w:sz w:val="20"/>
      <w:szCs w:val="20"/>
    </w:rPr>
  </w:style>
  <w:style w:type="paragraph" w:styleId="CommentSubject">
    <w:name w:val="annotation subject"/>
    <w:basedOn w:val="CommentText"/>
    <w:next w:val="CommentText"/>
    <w:link w:val="CommentSubjectChar"/>
    <w:uiPriority w:val="99"/>
    <w:semiHidden/>
    <w:unhideWhenUsed/>
    <w:rsid w:val="00EF5D9F"/>
    <w:rPr>
      <w:b/>
      <w:bCs/>
    </w:rPr>
  </w:style>
  <w:style w:type="character" w:customStyle="1" w:styleId="CommentSubjectChar">
    <w:name w:val="Comment Subject Char"/>
    <w:basedOn w:val="CommentTextChar"/>
    <w:link w:val="CommentSubject"/>
    <w:uiPriority w:val="99"/>
    <w:semiHidden/>
    <w:rsid w:val="00EF5D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Library of Congress</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Saccucci, Caroline</dc:creator>
  <cp:keywords/>
  <dc:description/>
  <cp:lastModifiedBy>Williams, Camilla E</cp:lastModifiedBy>
  <cp:revision>5</cp:revision>
  <dcterms:created xsi:type="dcterms:W3CDTF">2024-01-17T20:10:00Z</dcterms:created>
  <dcterms:modified xsi:type="dcterms:W3CDTF">2024-01-19T19:04:00Z</dcterms:modified>
</cp:coreProperties>
</file>