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7140F" w14:textId="77777777" w:rsidR="006D04CE" w:rsidRPr="00D05DB1" w:rsidRDefault="006D04CE" w:rsidP="006D04CE">
      <w:pPr>
        <w:spacing w:after="0" w:line="240" w:lineRule="auto"/>
        <w:rPr>
          <w:rFonts w:cstheme="minorHAnsi"/>
          <w:b/>
          <w:sz w:val="24"/>
          <w:szCs w:val="24"/>
        </w:rPr>
      </w:pPr>
      <w:r w:rsidRPr="00D05DB1">
        <w:rPr>
          <w:rFonts w:cstheme="minorHAnsi"/>
          <w:b/>
          <w:sz w:val="24"/>
          <w:szCs w:val="24"/>
        </w:rPr>
        <w:t>ALA/Core Subject Analysis Committee</w:t>
      </w:r>
    </w:p>
    <w:p w14:paraId="53096408" w14:textId="5197482C" w:rsidR="006D04CE" w:rsidRPr="008C3379" w:rsidRDefault="006D04CE" w:rsidP="006D04CE">
      <w:pPr>
        <w:spacing w:after="0" w:line="240" w:lineRule="auto"/>
        <w:rPr>
          <w:rFonts w:cstheme="minorHAnsi"/>
          <w:bCs/>
          <w:sz w:val="24"/>
          <w:szCs w:val="24"/>
        </w:rPr>
      </w:pPr>
      <w:r>
        <w:rPr>
          <w:rFonts w:cstheme="minorHAnsi"/>
          <w:bCs/>
          <w:sz w:val="24"/>
          <w:szCs w:val="24"/>
        </w:rPr>
        <w:t>July 15, 2024</w:t>
      </w:r>
    </w:p>
    <w:p w14:paraId="2A4F65EB" w14:textId="77777777" w:rsidR="006D04CE" w:rsidRPr="008C3379" w:rsidRDefault="006D04CE" w:rsidP="006D04CE">
      <w:pPr>
        <w:spacing w:after="0" w:line="240" w:lineRule="auto"/>
        <w:rPr>
          <w:rFonts w:cstheme="minorHAnsi"/>
          <w:bCs/>
          <w:sz w:val="24"/>
          <w:szCs w:val="24"/>
        </w:rPr>
      </w:pPr>
    </w:p>
    <w:p w14:paraId="4305A823" w14:textId="77777777" w:rsidR="006D04CE" w:rsidRPr="00D05DB1" w:rsidRDefault="006D04CE" w:rsidP="006D04CE">
      <w:pPr>
        <w:spacing w:after="0" w:line="240" w:lineRule="auto"/>
        <w:rPr>
          <w:rFonts w:cstheme="minorHAnsi"/>
          <w:b/>
          <w:sz w:val="24"/>
          <w:szCs w:val="24"/>
        </w:rPr>
      </w:pPr>
      <w:r w:rsidRPr="00D05DB1">
        <w:rPr>
          <w:rFonts w:cstheme="minorHAnsi"/>
          <w:b/>
          <w:sz w:val="24"/>
          <w:szCs w:val="24"/>
        </w:rPr>
        <w:t>Report of the Liaison from the Getty Vocabulary Program, Getty Research Institute</w:t>
      </w:r>
    </w:p>
    <w:p w14:paraId="4B10104B" w14:textId="77777777" w:rsidR="006D04CE" w:rsidRDefault="006D04CE" w:rsidP="006D04CE">
      <w:pPr>
        <w:spacing w:after="0" w:line="240" w:lineRule="auto"/>
        <w:rPr>
          <w:rFonts w:cstheme="minorHAnsi"/>
          <w:bCs/>
          <w:sz w:val="24"/>
          <w:szCs w:val="24"/>
        </w:rPr>
      </w:pPr>
      <w:r w:rsidRPr="008C3379">
        <w:rPr>
          <w:rFonts w:cstheme="minorHAnsi"/>
          <w:bCs/>
          <w:sz w:val="24"/>
          <w:szCs w:val="24"/>
        </w:rPr>
        <w:t>Written and submitted by Jonathan Ward</w:t>
      </w:r>
      <w:r>
        <w:rPr>
          <w:rFonts w:cstheme="minorHAnsi"/>
          <w:bCs/>
          <w:sz w:val="24"/>
          <w:szCs w:val="24"/>
        </w:rPr>
        <w:t>, Sr. Editor</w:t>
      </w:r>
    </w:p>
    <w:p w14:paraId="4C5980AB" w14:textId="77777777" w:rsidR="006D04CE" w:rsidRDefault="006D04CE" w:rsidP="006D04CE">
      <w:pPr>
        <w:spacing w:after="0" w:line="240" w:lineRule="auto"/>
        <w:rPr>
          <w:rFonts w:cstheme="minorHAnsi"/>
          <w:bCs/>
          <w:sz w:val="24"/>
          <w:szCs w:val="24"/>
        </w:rPr>
      </w:pPr>
    </w:p>
    <w:p w14:paraId="3D7438A9" w14:textId="510D3A08" w:rsidR="006D04CE" w:rsidRDefault="006D04CE" w:rsidP="006D04CE">
      <w:pPr>
        <w:spacing w:after="0" w:line="240" w:lineRule="auto"/>
        <w:rPr>
          <w:rFonts w:cstheme="minorHAnsi"/>
          <w:bCs/>
          <w:sz w:val="24"/>
          <w:szCs w:val="24"/>
        </w:rPr>
      </w:pPr>
      <w:r>
        <w:rPr>
          <w:rFonts w:cstheme="minorHAnsi"/>
          <w:bCs/>
          <w:sz w:val="24"/>
          <w:szCs w:val="24"/>
        </w:rPr>
        <w:t>It’s been some time since our last report. As mentioned in prior meetings, the Getty Vocabulary Program continues</w:t>
      </w:r>
      <w:r>
        <w:rPr>
          <w:rFonts w:cstheme="minorHAnsi"/>
          <w:bCs/>
          <w:sz w:val="24"/>
          <w:szCs w:val="24"/>
        </w:rPr>
        <w:t xml:space="preserve"> to evaluate our terminologies with respect to the Getty’s overall commitment to DEIA, as well as avenues to expand the Vocabularies in relation to that commitment. </w:t>
      </w:r>
      <w:r>
        <w:rPr>
          <w:rFonts w:cstheme="minorHAnsi"/>
          <w:bCs/>
          <w:sz w:val="24"/>
          <w:szCs w:val="24"/>
        </w:rPr>
        <w:t xml:space="preserve">A primary goal of the Vocabulary Program is to be more multicultural, inclusive, and multilingual. </w:t>
      </w:r>
    </w:p>
    <w:p w14:paraId="46CA5B29" w14:textId="77777777" w:rsidR="006D04CE" w:rsidRDefault="006D04CE" w:rsidP="006D04CE">
      <w:pPr>
        <w:spacing w:after="0" w:line="240" w:lineRule="auto"/>
        <w:rPr>
          <w:rFonts w:cstheme="minorHAnsi"/>
          <w:bCs/>
          <w:sz w:val="24"/>
          <w:szCs w:val="24"/>
        </w:rPr>
      </w:pPr>
    </w:p>
    <w:p w14:paraId="0AE3C812" w14:textId="51B00757" w:rsidR="00665121" w:rsidRDefault="00665121" w:rsidP="006D04CE">
      <w:pPr>
        <w:spacing w:after="0" w:line="240" w:lineRule="auto"/>
        <w:rPr>
          <w:rFonts w:cstheme="minorHAnsi"/>
          <w:bCs/>
          <w:sz w:val="24"/>
          <w:szCs w:val="24"/>
        </w:rPr>
      </w:pPr>
      <w:r>
        <w:rPr>
          <w:rFonts w:cstheme="minorHAnsi"/>
          <w:bCs/>
          <w:sz w:val="24"/>
          <w:szCs w:val="24"/>
        </w:rPr>
        <w:t>Some notable inclusions in our Vocabulary content:</w:t>
      </w:r>
      <w:r w:rsidR="00531D2C">
        <w:rPr>
          <w:rFonts w:cstheme="minorHAnsi"/>
          <w:bCs/>
          <w:sz w:val="24"/>
          <w:szCs w:val="24"/>
        </w:rPr>
        <w:br/>
      </w:r>
    </w:p>
    <w:p w14:paraId="7A48D8FE" w14:textId="712C358B" w:rsidR="00665121" w:rsidRDefault="00665121" w:rsidP="006D04CE">
      <w:pPr>
        <w:spacing w:after="0" w:line="240" w:lineRule="auto"/>
        <w:rPr>
          <w:rFonts w:cstheme="minorHAnsi"/>
          <w:bCs/>
          <w:sz w:val="24"/>
          <w:szCs w:val="24"/>
        </w:rPr>
      </w:pPr>
      <w:r>
        <w:rPr>
          <w:rFonts w:cstheme="minorHAnsi"/>
          <w:bCs/>
          <w:sz w:val="24"/>
          <w:szCs w:val="24"/>
        </w:rPr>
        <w:t xml:space="preserve">For the past year, we’ve been adding Native places </w:t>
      </w:r>
      <w:r w:rsidR="00531D2C">
        <w:rPr>
          <w:rFonts w:cstheme="minorHAnsi"/>
          <w:bCs/>
          <w:sz w:val="24"/>
          <w:szCs w:val="24"/>
        </w:rPr>
        <w:t>to</w:t>
      </w:r>
      <w:r>
        <w:rPr>
          <w:rFonts w:cstheme="minorHAnsi"/>
          <w:bCs/>
          <w:sz w:val="24"/>
          <w:szCs w:val="24"/>
        </w:rPr>
        <w:t xml:space="preserve"> TGN, particularly names of Reservations and Statistical Areas, in the United States. Many of these places are not in GIS systems, on Google Maps, or if they appear there, they are often not under the preferred name used by the cultures/tribes themselves</w:t>
      </w:r>
      <w:r w:rsidR="00531D2C">
        <w:rPr>
          <w:rFonts w:cstheme="minorHAnsi"/>
          <w:bCs/>
          <w:sz w:val="24"/>
          <w:szCs w:val="24"/>
        </w:rPr>
        <w:t>, nor do they contain variant terms</w:t>
      </w:r>
      <w:r>
        <w:rPr>
          <w:rFonts w:cstheme="minorHAnsi"/>
          <w:bCs/>
          <w:sz w:val="24"/>
          <w:szCs w:val="24"/>
        </w:rPr>
        <w:t xml:space="preserve">. We are adding polyhierarchical relationships to the counties where these places </w:t>
      </w:r>
      <w:r w:rsidR="00531D2C">
        <w:rPr>
          <w:rFonts w:cstheme="minorHAnsi"/>
          <w:bCs/>
          <w:sz w:val="24"/>
          <w:szCs w:val="24"/>
        </w:rPr>
        <w:t>are located</w:t>
      </w:r>
      <w:r>
        <w:rPr>
          <w:rFonts w:cstheme="minorHAnsi"/>
          <w:bCs/>
          <w:sz w:val="24"/>
          <w:szCs w:val="24"/>
        </w:rPr>
        <w:t xml:space="preserve">, as well as indepth scope notes documenting their histories. </w:t>
      </w:r>
      <w:r w:rsidR="00531D2C">
        <w:rPr>
          <w:rFonts w:cstheme="minorHAnsi"/>
          <w:bCs/>
          <w:sz w:val="24"/>
          <w:szCs w:val="24"/>
        </w:rPr>
        <w:t xml:space="preserve">This work will continue for several more months. </w:t>
      </w:r>
    </w:p>
    <w:p w14:paraId="2B3D3894" w14:textId="77777777" w:rsidR="00531D2C" w:rsidRDefault="00531D2C" w:rsidP="006D04CE">
      <w:pPr>
        <w:spacing w:after="0" w:line="240" w:lineRule="auto"/>
        <w:rPr>
          <w:rFonts w:cstheme="minorHAnsi"/>
          <w:bCs/>
          <w:sz w:val="24"/>
          <w:szCs w:val="24"/>
        </w:rPr>
      </w:pPr>
    </w:p>
    <w:p w14:paraId="13935A0D" w14:textId="78F7DB5D" w:rsidR="00531D2C" w:rsidRDefault="00531D2C" w:rsidP="006D04CE">
      <w:pPr>
        <w:spacing w:after="0" w:line="240" w:lineRule="auto"/>
        <w:rPr>
          <w:rFonts w:cstheme="minorHAnsi"/>
          <w:bCs/>
          <w:sz w:val="24"/>
          <w:szCs w:val="24"/>
        </w:rPr>
      </w:pPr>
      <w:r>
        <w:rPr>
          <w:rFonts w:cstheme="minorHAnsi"/>
          <w:bCs/>
          <w:sz w:val="24"/>
          <w:szCs w:val="24"/>
        </w:rPr>
        <w:t xml:space="preserve">Example: </w:t>
      </w:r>
    </w:p>
    <w:p w14:paraId="240CDD5D" w14:textId="53B8398A" w:rsidR="006D04CE" w:rsidRDefault="00531D2C" w:rsidP="006D04CE">
      <w:pPr>
        <w:spacing w:after="0" w:line="240" w:lineRule="auto"/>
        <w:rPr>
          <w:rFonts w:cstheme="minorHAnsi"/>
          <w:bCs/>
          <w:sz w:val="24"/>
          <w:szCs w:val="24"/>
        </w:rPr>
      </w:pPr>
      <w:hyperlink r:id="rId4" w:history="1">
        <w:r w:rsidRPr="00433C6E">
          <w:rPr>
            <w:rStyle w:val="Hyperlink"/>
            <w:rFonts w:cstheme="minorHAnsi"/>
            <w:bCs/>
            <w:sz w:val="24"/>
            <w:szCs w:val="24"/>
          </w:rPr>
          <w:t>https://www.getty.edu/vow/TGNFullDisplay?find=Ak-Chin+Indian+Community&amp;place=&amp;nation=&amp;prev_page=1&amp;english=Y&amp;subjectid=9226819</w:t>
        </w:r>
      </w:hyperlink>
    </w:p>
    <w:p w14:paraId="489D7952" w14:textId="77777777" w:rsidR="00531D2C" w:rsidRDefault="00531D2C" w:rsidP="006D04CE">
      <w:pPr>
        <w:spacing w:after="0" w:line="240" w:lineRule="auto"/>
        <w:rPr>
          <w:rFonts w:cstheme="minorHAnsi"/>
          <w:bCs/>
          <w:sz w:val="24"/>
          <w:szCs w:val="24"/>
        </w:rPr>
      </w:pPr>
    </w:p>
    <w:p w14:paraId="384665E2" w14:textId="261BD4C2" w:rsidR="00531D2C" w:rsidRDefault="00531D2C" w:rsidP="006D04CE">
      <w:pPr>
        <w:spacing w:after="0" w:line="240" w:lineRule="auto"/>
        <w:rPr>
          <w:rFonts w:cstheme="minorHAnsi"/>
          <w:bCs/>
          <w:sz w:val="24"/>
          <w:szCs w:val="24"/>
        </w:rPr>
      </w:pPr>
      <w:r>
        <w:rPr>
          <w:rFonts w:cstheme="minorHAnsi"/>
          <w:bCs/>
          <w:sz w:val="24"/>
          <w:szCs w:val="24"/>
        </w:rPr>
        <w:t xml:space="preserve">To ULAN, we’ve </w:t>
      </w:r>
      <w:r w:rsidR="0036112F">
        <w:rPr>
          <w:rFonts w:cstheme="minorHAnsi"/>
          <w:bCs/>
          <w:sz w:val="24"/>
          <w:szCs w:val="24"/>
        </w:rPr>
        <w:t xml:space="preserve">recently </w:t>
      </w:r>
      <w:r>
        <w:rPr>
          <w:rFonts w:cstheme="minorHAnsi"/>
          <w:bCs/>
          <w:sz w:val="24"/>
          <w:szCs w:val="24"/>
        </w:rPr>
        <w:t>added the first batch of names and relationships for Korean artists from NRICH (National Research Institute of Cultural Heritage) in South Korea</w:t>
      </w:r>
      <w:r w:rsidR="0036112F">
        <w:rPr>
          <w:rFonts w:cstheme="minorHAnsi"/>
          <w:bCs/>
          <w:sz w:val="24"/>
          <w:szCs w:val="24"/>
        </w:rPr>
        <w:t>; we’ve added local Indian artists from the O Foundation.</w:t>
      </w:r>
      <w:r>
        <w:rPr>
          <w:rFonts w:cstheme="minorHAnsi"/>
          <w:bCs/>
          <w:sz w:val="24"/>
          <w:szCs w:val="24"/>
        </w:rPr>
        <w:t xml:space="preserve"> </w:t>
      </w:r>
      <w:r w:rsidR="00437A4B">
        <w:rPr>
          <w:rFonts w:cstheme="minorHAnsi"/>
          <w:bCs/>
          <w:sz w:val="24"/>
          <w:szCs w:val="24"/>
        </w:rPr>
        <w:t xml:space="preserve">We’ve added artists for the ongoing Johnson Publishing Company and Kaplan collections of works by African-American artists. </w:t>
      </w:r>
      <w:r w:rsidR="0036112F">
        <w:rPr>
          <w:rFonts w:cstheme="minorHAnsi"/>
          <w:bCs/>
          <w:sz w:val="24"/>
          <w:szCs w:val="24"/>
        </w:rPr>
        <w:t>We’ve continued to add African, Asian, and Middle Eastern artists from Artsy data and other sources</w:t>
      </w:r>
      <w:r w:rsidR="00DC16EB">
        <w:rPr>
          <w:rFonts w:cstheme="minorHAnsi"/>
          <w:bCs/>
          <w:sz w:val="24"/>
          <w:szCs w:val="24"/>
        </w:rPr>
        <w:t xml:space="preserve"> and continued to process women artists from the RKD artist database. </w:t>
      </w:r>
      <w:r w:rsidR="0036112F">
        <w:rPr>
          <w:rFonts w:cstheme="minorHAnsi"/>
          <w:bCs/>
          <w:sz w:val="24"/>
          <w:szCs w:val="24"/>
        </w:rPr>
        <w:br/>
      </w:r>
      <w:r w:rsidR="0036112F">
        <w:rPr>
          <w:rFonts w:cstheme="minorHAnsi"/>
          <w:bCs/>
          <w:sz w:val="24"/>
          <w:szCs w:val="24"/>
        </w:rPr>
        <w:br/>
      </w:r>
      <w:r w:rsidR="00437A4B">
        <w:rPr>
          <w:rFonts w:cstheme="minorHAnsi"/>
          <w:bCs/>
          <w:sz w:val="24"/>
          <w:szCs w:val="24"/>
        </w:rPr>
        <w:t>In AAT, we’ve continued adding inclusive terminologies, continued processing French and English terms from CHIN’s Nomenclature</w:t>
      </w:r>
      <w:r w:rsidR="00B86E1E">
        <w:rPr>
          <w:rFonts w:cstheme="minorHAnsi"/>
          <w:bCs/>
          <w:sz w:val="24"/>
          <w:szCs w:val="24"/>
        </w:rPr>
        <w:t xml:space="preserve"> vocabulary</w:t>
      </w:r>
      <w:r w:rsidR="00437A4B">
        <w:rPr>
          <w:rFonts w:cstheme="minorHAnsi"/>
          <w:bCs/>
          <w:sz w:val="24"/>
          <w:szCs w:val="24"/>
        </w:rPr>
        <w:t xml:space="preserve">, in addition </w:t>
      </w:r>
      <w:r w:rsidR="0036112F">
        <w:rPr>
          <w:rFonts w:cstheme="minorHAnsi"/>
          <w:bCs/>
          <w:sz w:val="24"/>
          <w:szCs w:val="24"/>
        </w:rPr>
        <w:t xml:space="preserve">to ongoing </w:t>
      </w:r>
      <w:r w:rsidR="00437A4B">
        <w:rPr>
          <w:rFonts w:cstheme="minorHAnsi"/>
          <w:bCs/>
          <w:sz w:val="24"/>
          <w:szCs w:val="24"/>
        </w:rPr>
        <w:t xml:space="preserve">Dutch, Chinese, German and Portuguese contributions. </w:t>
      </w:r>
      <w:r w:rsidR="00DC16EB">
        <w:rPr>
          <w:rFonts w:cstheme="minorHAnsi"/>
          <w:bCs/>
          <w:sz w:val="24"/>
          <w:szCs w:val="24"/>
        </w:rPr>
        <w:t xml:space="preserve">In CONA, we’ve continued to add global architecture from the Built Works Registry. </w:t>
      </w:r>
    </w:p>
    <w:p w14:paraId="7A9A5FF6" w14:textId="77777777" w:rsidR="0036112F" w:rsidRDefault="0036112F" w:rsidP="006D04CE">
      <w:pPr>
        <w:spacing w:after="0" w:line="240" w:lineRule="auto"/>
        <w:rPr>
          <w:rFonts w:cstheme="minorHAnsi"/>
          <w:bCs/>
          <w:sz w:val="24"/>
          <w:szCs w:val="24"/>
        </w:rPr>
      </w:pPr>
    </w:p>
    <w:p w14:paraId="7CFB8E83" w14:textId="64ED7C68" w:rsidR="0036112F" w:rsidRDefault="0036112F" w:rsidP="006D04CE">
      <w:pPr>
        <w:spacing w:after="0" w:line="240" w:lineRule="auto"/>
        <w:rPr>
          <w:rFonts w:cstheme="minorHAnsi"/>
          <w:bCs/>
          <w:sz w:val="24"/>
          <w:szCs w:val="24"/>
        </w:rPr>
      </w:pPr>
      <w:r>
        <w:rPr>
          <w:rFonts w:cstheme="minorHAnsi"/>
          <w:bCs/>
          <w:sz w:val="24"/>
          <w:szCs w:val="24"/>
        </w:rPr>
        <w:t xml:space="preserve">At the bottom of this report, I’ve posted our quarterly newsletter </w:t>
      </w:r>
      <w:r w:rsidR="00DC16EB">
        <w:rPr>
          <w:rFonts w:cstheme="minorHAnsi"/>
          <w:bCs/>
          <w:sz w:val="24"/>
          <w:szCs w:val="24"/>
        </w:rPr>
        <w:t xml:space="preserve">that we send </w:t>
      </w:r>
      <w:r>
        <w:rPr>
          <w:rFonts w:cstheme="minorHAnsi"/>
          <w:bCs/>
          <w:sz w:val="24"/>
          <w:szCs w:val="24"/>
        </w:rPr>
        <w:t>to ARLIS (Art Librar</w:t>
      </w:r>
      <w:r w:rsidR="00DC16EB">
        <w:rPr>
          <w:rFonts w:cstheme="minorHAnsi"/>
          <w:bCs/>
          <w:sz w:val="24"/>
          <w:szCs w:val="24"/>
        </w:rPr>
        <w:t>ies Society of North America) and VRA (Visual Resource</w:t>
      </w:r>
      <w:r w:rsidR="00B86E1E">
        <w:rPr>
          <w:rFonts w:cstheme="minorHAnsi"/>
          <w:bCs/>
          <w:sz w:val="24"/>
          <w:szCs w:val="24"/>
        </w:rPr>
        <w:t xml:space="preserve">s </w:t>
      </w:r>
      <w:r w:rsidR="00DC16EB">
        <w:rPr>
          <w:rFonts w:cstheme="minorHAnsi"/>
          <w:bCs/>
          <w:sz w:val="24"/>
          <w:szCs w:val="24"/>
        </w:rPr>
        <w:t xml:space="preserve">Association) listservs, among other places. </w:t>
      </w:r>
    </w:p>
    <w:p w14:paraId="4D2B7FEB" w14:textId="77777777" w:rsidR="00DC16EB" w:rsidRDefault="00DC16EB" w:rsidP="006D04CE">
      <w:pPr>
        <w:spacing w:after="0" w:line="240" w:lineRule="auto"/>
        <w:rPr>
          <w:rFonts w:cstheme="minorHAnsi"/>
          <w:bCs/>
          <w:sz w:val="24"/>
          <w:szCs w:val="24"/>
        </w:rPr>
      </w:pPr>
    </w:p>
    <w:p w14:paraId="13202B9C" w14:textId="1E1F4799" w:rsidR="00DC16EB" w:rsidRDefault="00DC16EB" w:rsidP="006D04CE">
      <w:pPr>
        <w:spacing w:after="0" w:line="240" w:lineRule="auto"/>
        <w:rPr>
          <w:rFonts w:cstheme="minorHAnsi"/>
          <w:bCs/>
          <w:sz w:val="24"/>
          <w:szCs w:val="24"/>
        </w:rPr>
      </w:pPr>
      <w:r>
        <w:rPr>
          <w:rFonts w:cstheme="minorHAnsi"/>
          <w:bCs/>
          <w:sz w:val="24"/>
          <w:szCs w:val="24"/>
        </w:rPr>
        <w:t xml:space="preserve">In other news: </w:t>
      </w:r>
    </w:p>
    <w:p w14:paraId="0E1FF136" w14:textId="1B48BFF4" w:rsidR="007B1E25" w:rsidRDefault="007B1E25" w:rsidP="006D04CE">
      <w:pPr>
        <w:spacing w:after="0" w:line="240" w:lineRule="auto"/>
        <w:rPr>
          <w:rFonts w:cstheme="minorHAnsi"/>
          <w:bCs/>
          <w:sz w:val="24"/>
          <w:szCs w:val="24"/>
        </w:rPr>
      </w:pPr>
      <w:r>
        <w:rPr>
          <w:rFonts w:cstheme="minorHAnsi"/>
          <w:bCs/>
          <w:sz w:val="24"/>
          <w:szCs w:val="24"/>
        </w:rPr>
        <w:lastRenderedPageBreak/>
        <w:t xml:space="preserve">Part of producing vocabularies is paying attention to how people use them and if/how commercial vendors allow for access (or, in fact, prevent full access). One important </w:t>
      </w:r>
      <w:r w:rsidR="00B86E1E">
        <w:rPr>
          <w:rFonts w:cstheme="minorHAnsi"/>
          <w:bCs/>
          <w:sz w:val="24"/>
          <w:szCs w:val="24"/>
        </w:rPr>
        <w:t xml:space="preserve">recent </w:t>
      </w:r>
      <w:r>
        <w:rPr>
          <w:rFonts w:cstheme="minorHAnsi"/>
          <w:bCs/>
          <w:sz w:val="24"/>
          <w:szCs w:val="24"/>
        </w:rPr>
        <w:t>development is that OCLC now allows catalogers to use variant terms from the Getty Vocabularies. We believe this will encourage diversity in cataloging, the use of primary terms in languages other than English</w:t>
      </w:r>
      <w:r w:rsidR="00B86E1E">
        <w:rPr>
          <w:rFonts w:cstheme="minorHAnsi"/>
          <w:bCs/>
          <w:sz w:val="24"/>
          <w:szCs w:val="24"/>
        </w:rPr>
        <w:t>, and can help take advantage of the diversity a thesaurus can offer.</w:t>
      </w:r>
    </w:p>
    <w:p w14:paraId="365872B0" w14:textId="77777777" w:rsidR="00B86E1E" w:rsidRDefault="00B86E1E" w:rsidP="006D04CE">
      <w:pPr>
        <w:spacing w:after="0" w:line="240" w:lineRule="auto"/>
        <w:rPr>
          <w:rFonts w:cstheme="minorHAnsi"/>
          <w:bCs/>
          <w:sz w:val="24"/>
          <w:szCs w:val="24"/>
        </w:rPr>
      </w:pPr>
    </w:p>
    <w:p w14:paraId="72842807" w14:textId="62D10B52" w:rsidR="00B86E1E" w:rsidRDefault="00B86E1E" w:rsidP="006D04CE">
      <w:pPr>
        <w:spacing w:after="0" w:line="240" w:lineRule="auto"/>
        <w:rPr>
          <w:rFonts w:cstheme="minorHAnsi"/>
          <w:bCs/>
          <w:sz w:val="24"/>
          <w:szCs w:val="24"/>
        </w:rPr>
      </w:pPr>
      <w:r>
        <w:rPr>
          <w:rFonts w:cstheme="minorHAnsi"/>
          <w:bCs/>
          <w:sz w:val="24"/>
          <w:szCs w:val="24"/>
        </w:rPr>
        <w:t>Getty Digital is also working on new MARC iterations of our Vocabularies. There’s not an easy, one-to-one match between MARC and thesaurus data and all of our attributions, but this process should be completed very soon. One immediate result will be a better, more robust representation of ULAN data in VIAF.</w:t>
      </w:r>
    </w:p>
    <w:p w14:paraId="3619CA1D" w14:textId="77777777" w:rsidR="00EE05A6" w:rsidRDefault="00EE05A6" w:rsidP="006D04CE">
      <w:pPr>
        <w:pBdr>
          <w:bottom w:val="single" w:sz="6" w:space="1" w:color="auto"/>
        </w:pBdr>
        <w:spacing w:after="0" w:line="240" w:lineRule="auto"/>
        <w:rPr>
          <w:rFonts w:cstheme="minorHAnsi"/>
          <w:bCs/>
          <w:sz w:val="24"/>
          <w:szCs w:val="24"/>
        </w:rPr>
      </w:pPr>
    </w:p>
    <w:p w14:paraId="5B5A5F63" w14:textId="77777777" w:rsidR="00EE05A6" w:rsidRDefault="00EE05A6" w:rsidP="006D04CE">
      <w:pPr>
        <w:spacing w:after="0" w:line="240" w:lineRule="auto"/>
        <w:rPr>
          <w:rFonts w:cstheme="minorHAnsi"/>
          <w:bCs/>
          <w:sz w:val="24"/>
          <w:szCs w:val="24"/>
        </w:rPr>
      </w:pPr>
    </w:p>
    <w:p w14:paraId="2351B1BF" w14:textId="77777777" w:rsidR="00EE05A6" w:rsidRDefault="00EE05A6" w:rsidP="00EE05A6">
      <w:pPr>
        <w:rPr>
          <w:rStyle w:val="Hyperlink"/>
          <w:rFonts w:ascii="Arial" w:eastAsiaTheme="minorHAnsi" w:hAnsi="Arial" w:cs="Arial"/>
          <w:sz w:val="20"/>
          <w:szCs w:val="20"/>
        </w:rPr>
      </w:pPr>
      <w:bookmarkStart w:id="0" w:name="_Hlk140771605"/>
      <w:r>
        <w:rPr>
          <w:rStyle w:val="markedcontent"/>
          <w:rFonts w:ascii="Arial" w:hAnsi="Arial" w:cs="Arial"/>
          <w:sz w:val="20"/>
          <w:szCs w:val="20"/>
        </w:rPr>
        <w:t xml:space="preserve">Greetings from the Getty Vocabulary Program. During the last quarter we continued to process contributions from various institutions and individuals. Please see details in our quarterly newsletter, posted here: </w:t>
      </w:r>
      <w:hyperlink r:id="rId5" w:history="1">
        <w:r>
          <w:rPr>
            <w:rStyle w:val="Hyperlink"/>
            <w:rFonts w:ascii="Arial" w:hAnsi="Arial" w:cs="Arial"/>
            <w:sz w:val="20"/>
            <w:szCs w:val="20"/>
          </w:rPr>
          <w:t>https://www.getty.edu/research/tools/vocabularies/guidelines/aat_monthly_new_recs.pdf</w:t>
        </w:r>
      </w:hyperlink>
      <w:r>
        <w:rPr>
          <w:rStyle w:val="Hyperlink"/>
          <w:rFonts w:ascii="Arial" w:hAnsi="Arial" w:cs="Arial"/>
          <w:sz w:val="20"/>
          <w:szCs w:val="20"/>
        </w:rPr>
        <w:t xml:space="preserve"> </w:t>
      </w:r>
    </w:p>
    <w:p w14:paraId="38C2A9B4" w14:textId="77777777" w:rsidR="00EE05A6" w:rsidRDefault="00EE05A6" w:rsidP="00EE05A6">
      <w:pPr>
        <w:rPr>
          <w:rStyle w:val="markedcontent"/>
          <w:rFonts w:ascii="Arial" w:hAnsi="Arial" w:cs="Arial"/>
          <w:sz w:val="20"/>
          <w:szCs w:val="20"/>
        </w:rPr>
      </w:pPr>
      <w:r>
        <w:rPr>
          <w:rFonts w:ascii="Arial" w:hAnsi="Arial" w:cs="Arial"/>
          <w:sz w:val="20"/>
          <w:szCs w:val="20"/>
        </w:rPr>
        <w:t xml:space="preserve">You may contact us at </w:t>
      </w:r>
      <w:hyperlink r:id="rId6" w:history="1">
        <w:r>
          <w:rPr>
            <w:rStyle w:val="Hyperlink"/>
            <w:rFonts w:ascii="Arial" w:hAnsi="Arial" w:cs="Arial"/>
            <w:sz w:val="20"/>
            <w:szCs w:val="20"/>
          </w:rPr>
          <w:t>vocab@getty.edu</w:t>
        </w:r>
      </w:hyperlink>
      <w:r>
        <w:rPr>
          <w:rFonts w:ascii="Arial" w:hAnsi="Arial" w:cs="Arial"/>
          <w:sz w:val="20"/>
          <w:szCs w:val="20"/>
        </w:rPr>
        <w:t xml:space="preserve"> </w:t>
      </w:r>
    </w:p>
    <w:p w14:paraId="3EDFF399" w14:textId="77777777" w:rsidR="00EE05A6" w:rsidRDefault="00EE05A6" w:rsidP="00EE05A6">
      <w:pPr>
        <w:rPr>
          <w:rStyle w:val="markedcontent"/>
        </w:rPr>
      </w:pPr>
      <w:r>
        <w:rPr>
          <w:rStyle w:val="markedcontent"/>
          <w:rFonts w:ascii="Arial" w:hAnsi="Arial" w:cs="Arial"/>
          <w:sz w:val="20"/>
          <w:szCs w:val="20"/>
        </w:rPr>
        <w:t xml:space="preserve">Below are examples of Getty Vocabulary records newly made available during the quarter January-March 2024. </w:t>
      </w:r>
    </w:p>
    <w:p w14:paraId="49E59FC2" w14:textId="77777777" w:rsidR="00EE05A6" w:rsidRDefault="00EE05A6" w:rsidP="00EE05A6">
      <w:pPr>
        <w:rPr>
          <w:rFonts w:ascii="Arial" w:hAnsi="Arial" w:cs="Arial"/>
          <w:sz w:val="20"/>
          <w:szCs w:val="20"/>
        </w:rPr>
      </w:pPr>
      <w:r>
        <w:rPr>
          <w:rFonts w:ascii="Arial" w:hAnsi="Arial" w:cs="Arial"/>
          <w:b/>
          <w:bCs/>
          <w:sz w:val="20"/>
          <w:szCs w:val="20"/>
        </w:rPr>
        <w:t xml:space="preserve">AAT:  </w:t>
      </w:r>
      <w:r>
        <w:rPr>
          <w:rFonts w:ascii="Arial" w:hAnsi="Arial" w:cs="Arial"/>
          <w:sz w:val="20"/>
          <w:szCs w:val="20"/>
        </w:rPr>
        <w:t xml:space="preserve">Examples of records newly available in AAT this quarter were contributed by </w:t>
      </w:r>
      <w:r>
        <w:rPr>
          <w:rStyle w:val="markedcontent"/>
          <w:rFonts w:ascii="Arial" w:hAnsi="Arial" w:cs="Arial"/>
          <w:sz w:val="20"/>
          <w:szCs w:val="20"/>
        </w:rPr>
        <w:t>CHIN/RCIP including French terms</w:t>
      </w:r>
      <w:r>
        <w:rPr>
          <w:rFonts w:ascii="Arial" w:hAnsi="Arial" w:cs="Arial"/>
          <w:sz w:val="20"/>
          <w:szCs w:val="20"/>
        </w:rPr>
        <w:t>, Dutch terms from RKD, German terms from</w:t>
      </w:r>
      <w:r>
        <w:t xml:space="preserve"> </w:t>
      </w:r>
      <w:r>
        <w:rPr>
          <w:rFonts w:ascii="Arial" w:hAnsi="Arial" w:cs="Arial"/>
          <w:sz w:val="20"/>
          <w:szCs w:val="20"/>
        </w:rPr>
        <w:t>Staatliche Museen zu Berlin; Italian terms from ICCD and National Central Library of Florence, Arabic terms from the International Digital Dura-Europos Archive (IDEA), Spanish and indigenous terms from CDBP-SNPC, conservation-related terms from GCI, and architectural terms from BWR; work was also done on gendered role terms.</w:t>
      </w:r>
    </w:p>
    <w:p w14:paraId="092EA61A" w14:textId="77777777" w:rsidR="00EE05A6" w:rsidRDefault="00EE05A6" w:rsidP="00EE05A6">
      <w:pPr>
        <w:rPr>
          <w:rFonts w:ascii="Arial" w:hAnsi="Arial" w:cs="Arial"/>
          <w:sz w:val="20"/>
          <w:szCs w:val="20"/>
        </w:rPr>
      </w:pPr>
      <w:hyperlink r:id="rId7" w:history="1">
        <w:r>
          <w:rPr>
            <w:rStyle w:val="Hyperlink"/>
          </w:rPr>
          <w:t>300455844</w:t>
        </w:r>
      </w:hyperlink>
      <w:r>
        <w:t xml:space="preserve"> | </w:t>
      </w:r>
      <w:r>
        <w:rPr>
          <w:b/>
          <w:bCs/>
        </w:rPr>
        <w:t>heavy color</w:t>
      </w:r>
      <w:r>
        <w:t xml:space="preserve"> | mineral painting (technique), &lt;painting techniques by medium&gt;,</w:t>
      </w:r>
      <w:r>
        <w:br/>
      </w:r>
      <w:hyperlink r:id="rId8" w:history="1">
        <w:r>
          <w:rPr>
            <w:rStyle w:val="Hyperlink"/>
          </w:rPr>
          <w:t>300301504</w:t>
        </w:r>
      </w:hyperlink>
      <w:r>
        <w:t xml:space="preserve"> | </w:t>
      </w:r>
      <w:r>
        <w:rPr>
          <w:b/>
          <w:bCs/>
        </w:rPr>
        <w:t>architectural thuribles</w:t>
      </w:r>
      <w:r>
        <w:t xml:space="preserve"> | thuribles, censers, ... Objects Facet</w:t>
      </w:r>
      <w:r>
        <w:br/>
      </w:r>
      <w:hyperlink r:id="rId9" w:history="1">
        <w:r>
          <w:rPr>
            <w:rStyle w:val="Hyperlink"/>
          </w:rPr>
          <w:t>300411239</w:t>
        </w:r>
      </w:hyperlink>
      <w:r>
        <w:t xml:space="preserve"> | </w:t>
      </w:r>
      <w:r>
        <w:rPr>
          <w:b/>
          <w:bCs/>
        </w:rPr>
        <w:t>Middle Chiripa</w:t>
      </w:r>
      <w:r>
        <w:t xml:space="preserve"> | Chiripa (culture and period), &lt;Pre-Columbian Andean styles and periods&gt;, ... Facet</w:t>
      </w:r>
      <w:r>
        <w:br/>
      </w:r>
      <w:hyperlink r:id="rId10" w:history="1">
        <w:r>
          <w:rPr>
            <w:rStyle w:val="Hyperlink"/>
          </w:rPr>
          <w:t>300023426</w:t>
        </w:r>
      </w:hyperlink>
      <w:r>
        <w:t xml:space="preserve"> | </w:t>
      </w:r>
      <w:r>
        <w:rPr>
          <w:b/>
          <w:bCs/>
        </w:rPr>
        <w:t>hatchels</w:t>
      </w:r>
      <w:r>
        <w:t xml:space="preserve"> | textile combs, &lt;textile fabricating tools and equipment&gt;, ... Objects Facet</w:t>
      </w:r>
    </w:p>
    <w:p w14:paraId="5DA6F801" w14:textId="77777777" w:rsidR="00EE05A6" w:rsidRDefault="00EE05A6" w:rsidP="00EE05A6">
      <w:pPr>
        <w:spacing w:after="240"/>
        <w:rPr>
          <w:rFonts w:ascii="Aptos" w:hAnsi="Aptos" w:cs="Aptos"/>
        </w:rPr>
      </w:pPr>
      <w:hyperlink r:id="rId11" w:history="1">
        <w:r>
          <w:rPr>
            <w:rStyle w:val="Hyperlink"/>
          </w:rPr>
          <w:t>300455761</w:t>
        </w:r>
      </w:hyperlink>
      <w:r>
        <w:t xml:space="preserve"> | </w:t>
      </w:r>
      <w:r>
        <w:rPr>
          <w:b/>
          <w:bCs/>
        </w:rPr>
        <w:t>data visualization</w:t>
      </w:r>
      <w:r>
        <w:t xml:space="preserve"> | &lt;image-making processes and techniques&gt;, &lt;processes and techniques </w:t>
      </w:r>
      <w:r>
        <w:br/>
      </w:r>
      <w:hyperlink r:id="rId12" w:history="1">
        <w:r>
          <w:rPr>
            <w:rStyle w:val="Hyperlink"/>
          </w:rPr>
          <w:t>300455762</w:t>
        </w:r>
      </w:hyperlink>
      <w:r>
        <w:t xml:space="preserve"> | </w:t>
      </w:r>
      <w:r>
        <w:rPr>
          <w:b/>
          <w:bCs/>
        </w:rPr>
        <w:t>kromscops</w:t>
      </w:r>
      <w:r>
        <w:t xml:space="preserve"> | projectors (image projectors), audiovisual equipment, ... Objects Facet</w:t>
      </w:r>
      <w:r>
        <w:br/>
      </w:r>
      <w:hyperlink r:id="rId13" w:history="1">
        <w:r>
          <w:rPr>
            <w:rStyle w:val="Hyperlink"/>
          </w:rPr>
          <w:t>300455765</w:t>
        </w:r>
      </w:hyperlink>
      <w:r>
        <w:t xml:space="preserve"> | </w:t>
      </w:r>
      <w:r>
        <w:rPr>
          <w:b/>
          <w:bCs/>
        </w:rPr>
        <w:t>tanzanite</w:t>
      </w:r>
      <w:r>
        <w:t xml:space="preserve"> | mineral, inorganic material, ... Materials Facet</w:t>
      </w:r>
      <w:r>
        <w:br/>
      </w:r>
      <w:hyperlink r:id="rId14" w:history="1">
        <w:r>
          <w:rPr>
            <w:rStyle w:val="Hyperlink"/>
          </w:rPr>
          <w:t>300455833</w:t>
        </w:r>
      </w:hyperlink>
      <w:r>
        <w:t xml:space="preserve"> | </w:t>
      </w:r>
      <w:r>
        <w:rPr>
          <w:b/>
          <w:bCs/>
        </w:rPr>
        <w:t>Old French (language)</w:t>
      </w:r>
      <w:r>
        <w:t xml:space="preserve"> | French (language), &lt;temporary alphabetical list: languages … Facet </w:t>
      </w:r>
      <w:r>
        <w:br/>
      </w:r>
      <w:hyperlink r:id="rId15" w:history="1">
        <w:r>
          <w:rPr>
            <w:rStyle w:val="Hyperlink"/>
          </w:rPr>
          <w:t>300455807</w:t>
        </w:r>
      </w:hyperlink>
      <w:r>
        <w:t xml:space="preserve"> | </w:t>
      </w:r>
      <w:r>
        <w:rPr>
          <w:b/>
          <w:bCs/>
        </w:rPr>
        <w:t>mokume-gane</w:t>
      </w:r>
      <w:r>
        <w:t xml:space="preserve"> | metallizing, &lt;surface covering processes and techniques&gt;, ... Activities Facet</w:t>
      </w:r>
      <w:r>
        <w:br/>
      </w:r>
      <w:hyperlink r:id="rId16" w:history="1">
        <w:r>
          <w:rPr>
            <w:rStyle w:val="Hyperlink"/>
          </w:rPr>
          <w:t>300455812</w:t>
        </w:r>
      </w:hyperlink>
      <w:r>
        <w:t xml:space="preserve"> | </w:t>
      </w:r>
      <w:r>
        <w:rPr>
          <w:b/>
          <w:bCs/>
        </w:rPr>
        <w:t>bridal crowns</w:t>
      </w:r>
      <w:r>
        <w:t xml:space="preserve"> | crowns (headdresses), headdresses, ... Objects Facet</w:t>
      </w:r>
      <w:r>
        <w:br/>
      </w:r>
      <w:hyperlink r:id="rId17" w:history="1">
        <w:r>
          <w:rPr>
            <w:rStyle w:val="Hyperlink"/>
          </w:rPr>
          <w:t>300455818</w:t>
        </w:r>
      </w:hyperlink>
      <w:r>
        <w:t xml:space="preserve"> | </w:t>
      </w:r>
      <w:r>
        <w:rPr>
          <w:b/>
          <w:bCs/>
        </w:rPr>
        <w:t>multi-scenic representation</w:t>
      </w:r>
      <w:r>
        <w:t xml:space="preserve"> | &lt;representational concepts by ... Associated Concepts Facet</w:t>
      </w:r>
      <w:r>
        <w:br/>
      </w:r>
      <w:hyperlink r:id="rId18" w:history="1">
        <w:r>
          <w:rPr>
            <w:rStyle w:val="Hyperlink"/>
          </w:rPr>
          <w:t>300455819</w:t>
        </w:r>
      </w:hyperlink>
      <w:r>
        <w:t xml:space="preserve"> | </w:t>
      </w:r>
      <w:r>
        <w:rPr>
          <w:b/>
          <w:bCs/>
        </w:rPr>
        <w:t>orihon</w:t>
      </w:r>
      <w:r>
        <w:t xml:space="preserve"> | accordion books, folded books, ... Objects Facet</w:t>
      </w:r>
      <w:r>
        <w:br/>
      </w:r>
      <w:hyperlink r:id="rId19" w:history="1">
        <w:r>
          <w:rPr>
            <w:rStyle w:val="Hyperlink"/>
          </w:rPr>
          <w:t>300455820</w:t>
        </w:r>
      </w:hyperlink>
      <w:r>
        <w:t xml:space="preserve"> | </w:t>
      </w:r>
      <w:r>
        <w:rPr>
          <w:b/>
          <w:bCs/>
        </w:rPr>
        <w:t>Simultanism</w:t>
      </w:r>
      <w:r>
        <w:t xml:space="preserve"> | &lt;modern European fine arts …, ... Styles and Periods Facet</w:t>
      </w:r>
      <w:r>
        <w:br/>
      </w:r>
      <w:hyperlink r:id="rId20" w:history="1">
        <w:r>
          <w:rPr>
            <w:rStyle w:val="Hyperlink"/>
          </w:rPr>
          <w:t>300455822</w:t>
        </w:r>
      </w:hyperlink>
      <w:r>
        <w:t xml:space="preserve"> | </w:t>
      </w:r>
      <w:r>
        <w:rPr>
          <w:b/>
          <w:bCs/>
        </w:rPr>
        <w:t>orishas</w:t>
      </w:r>
      <w:r>
        <w:t xml:space="preserve"> | deities, people in religion, ... Agents Facet</w:t>
      </w:r>
    </w:p>
    <w:p w14:paraId="69851FEB" w14:textId="77777777" w:rsidR="00EE05A6" w:rsidRDefault="00EE05A6" w:rsidP="00EE05A6">
      <w:pPr>
        <w:keepNext/>
        <w:rPr>
          <w:rFonts w:ascii="Arial" w:hAnsi="Arial" w:cs="Arial"/>
          <w:sz w:val="20"/>
          <w:szCs w:val="20"/>
        </w:rPr>
      </w:pPr>
      <w:r>
        <w:rPr>
          <w:rFonts w:ascii="Arial" w:hAnsi="Arial" w:cs="Arial"/>
          <w:b/>
          <w:bCs/>
          <w:sz w:val="20"/>
          <w:szCs w:val="20"/>
        </w:rPr>
        <w:lastRenderedPageBreak/>
        <w:t xml:space="preserve">TGN: </w:t>
      </w:r>
      <w:bookmarkStart w:id="1" w:name="_Hlk133320527"/>
      <w:r>
        <w:rPr>
          <w:rFonts w:ascii="Arial" w:hAnsi="Arial" w:cs="Arial"/>
          <w:sz w:val="20"/>
          <w:szCs w:val="20"/>
        </w:rPr>
        <w:t>Records newly available in TGN this quarter were contributed by GVP graduate intern recording names of indigenous communities, GCI AATA, BWR, and others.</w:t>
      </w:r>
      <w:bookmarkEnd w:id="1"/>
    </w:p>
    <w:p w14:paraId="3326673E" w14:textId="77777777" w:rsidR="00EE05A6" w:rsidRDefault="00EE05A6" w:rsidP="00EE05A6">
      <w:pPr>
        <w:rPr>
          <w:rFonts w:ascii="Arial" w:hAnsi="Arial" w:cs="Arial"/>
          <w:b/>
          <w:bCs/>
          <w:sz w:val="20"/>
          <w:szCs w:val="20"/>
        </w:rPr>
      </w:pPr>
      <w:hyperlink r:id="rId21" w:history="1">
        <w:r>
          <w:rPr>
            <w:rStyle w:val="Hyperlink"/>
          </w:rPr>
          <w:t>9226856</w:t>
        </w:r>
      </w:hyperlink>
      <w:r>
        <w:t xml:space="preserve"> | </w:t>
      </w:r>
      <w:r>
        <w:rPr>
          <w:b/>
          <w:bCs/>
        </w:rPr>
        <w:t>Dry Creek Rancheria (Indian reservation (Native American reservation))</w:t>
      </w:r>
      <w:r>
        <w:t xml:space="preserve"> | Sonoma, California, ..</w:t>
      </w:r>
      <w:r>
        <w:br/>
      </w:r>
      <w:hyperlink r:id="rId22" w:history="1">
        <w:r>
          <w:rPr>
            <w:rStyle w:val="Hyperlink"/>
          </w:rPr>
          <w:t>9226880</w:t>
        </w:r>
      </w:hyperlink>
      <w:r>
        <w:t xml:space="preserve"> | </w:t>
      </w:r>
      <w:r>
        <w:rPr>
          <w:b/>
          <w:bCs/>
        </w:rPr>
        <w:t>Jamestown S'Klallam Tribal Community (Indian reservation …</w:t>
      </w:r>
      <w:r>
        <w:t xml:space="preserve"> | Clallam, Washington, ...</w:t>
      </w:r>
      <w:r>
        <w:br/>
      </w:r>
      <w:hyperlink r:id="rId23" w:history="1">
        <w:r>
          <w:rPr>
            <w:rStyle w:val="Hyperlink"/>
          </w:rPr>
          <w:t>9226887</w:t>
        </w:r>
      </w:hyperlink>
      <w:r>
        <w:t xml:space="preserve"> | </w:t>
      </w:r>
      <w:r>
        <w:rPr>
          <w:b/>
          <w:bCs/>
        </w:rPr>
        <w:t>Las Vegas Paiute Colony (Indian reservation (Native American reservation))</w:t>
      </w:r>
      <w:r>
        <w:t xml:space="preserve"> | Clark, Nevada, ...</w:t>
      </w:r>
      <w:r>
        <w:br/>
      </w:r>
      <w:hyperlink r:id="rId24" w:history="1">
        <w:r>
          <w:rPr>
            <w:rStyle w:val="Hyperlink"/>
          </w:rPr>
          <w:t>9226899</w:t>
        </w:r>
      </w:hyperlink>
      <w:r>
        <w:t xml:space="preserve"> | </w:t>
      </w:r>
      <w:r>
        <w:rPr>
          <w:b/>
          <w:bCs/>
        </w:rPr>
        <w:t>Mohegan Royal Burial Ground (burial site)</w:t>
      </w:r>
      <w:r>
        <w:t xml:space="preserve"> | Norwich, New London, Connecticut</w:t>
      </w:r>
      <w:r>
        <w:br/>
      </w:r>
      <w:hyperlink r:id="rId25" w:history="1">
        <w:r>
          <w:rPr>
            <w:rStyle w:val="Hyperlink"/>
          </w:rPr>
          <w:t>9226901</w:t>
        </w:r>
      </w:hyperlink>
      <w:r>
        <w:t xml:space="preserve"> | </w:t>
      </w:r>
      <w:r>
        <w:rPr>
          <w:b/>
          <w:bCs/>
        </w:rPr>
        <w:t>Fort Shantok (archaeological site)</w:t>
      </w:r>
      <w:r>
        <w:t xml:space="preserve"> | Montville, New London, Connecticut...</w:t>
      </w:r>
      <w:r>
        <w:br/>
      </w:r>
      <w:hyperlink r:id="rId26" w:history="1">
        <w:r>
          <w:rPr>
            <w:rStyle w:val="Hyperlink"/>
          </w:rPr>
          <w:t>9226876</w:t>
        </w:r>
      </w:hyperlink>
      <w:r>
        <w:t xml:space="preserve"> | </w:t>
      </w:r>
      <w:r>
        <w:rPr>
          <w:b/>
          <w:bCs/>
        </w:rPr>
        <w:t>Wild West (area)</w:t>
      </w:r>
      <w:r>
        <w:t xml:space="preserve"> | United States, North and Central America, World</w:t>
      </w:r>
    </w:p>
    <w:p w14:paraId="173F9981" w14:textId="77777777" w:rsidR="00EE05A6" w:rsidRDefault="00EE05A6" w:rsidP="00EE05A6">
      <w:pPr>
        <w:rPr>
          <w:rFonts w:ascii="Arial" w:hAnsi="Arial" w:cs="Arial"/>
          <w:sz w:val="20"/>
          <w:szCs w:val="20"/>
        </w:rPr>
      </w:pPr>
    </w:p>
    <w:p w14:paraId="7DF0A427" w14:textId="77777777" w:rsidR="00EE05A6" w:rsidRDefault="00EE05A6" w:rsidP="00EE05A6">
      <w:pPr>
        <w:rPr>
          <w:rFonts w:ascii="Arial" w:hAnsi="Arial" w:cs="Arial"/>
          <w:color w:val="000000"/>
          <w:sz w:val="20"/>
          <w:szCs w:val="20"/>
        </w:rPr>
      </w:pPr>
      <w:r>
        <w:rPr>
          <w:rFonts w:ascii="Arial" w:hAnsi="Arial" w:cs="Arial"/>
          <w:b/>
          <w:bCs/>
          <w:sz w:val="20"/>
          <w:szCs w:val="20"/>
        </w:rPr>
        <w:t xml:space="preserve">ULAN: </w:t>
      </w:r>
      <w:bookmarkStart w:id="2" w:name="_Hlk133320223"/>
      <w:r>
        <w:rPr>
          <w:rFonts w:ascii="Arial" w:hAnsi="Arial" w:cs="Arial"/>
          <w:sz w:val="20"/>
          <w:szCs w:val="20"/>
        </w:rPr>
        <w:t xml:space="preserve">Records newly available in ULAN this quarter </w:t>
      </w:r>
      <w:bookmarkEnd w:id="2"/>
      <w:r>
        <w:rPr>
          <w:rFonts w:ascii="Arial" w:hAnsi="Arial" w:cs="Arial"/>
          <w:sz w:val="20"/>
          <w:szCs w:val="20"/>
        </w:rPr>
        <w:t>included Brazilian artists from PESP; architects from BWR; National Gallery DC artists; NRICH Korean artists; artists from GCI and JPGM, and from GRI the Szeemann archive and Eastern European artists; the periodic duplicates report was run</w:t>
      </w:r>
      <w:r>
        <w:rPr>
          <w:rFonts w:ascii="Arial" w:hAnsi="Arial" w:cs="Arial"/>
          <w:color w:val="000000"/>
          <w:sz w:val="20"/>
          <w:szCs w:val="20"/>
        </w:rPr>
        <w:t>.</w:t>
      </w:r>
    </w:p>
    <w:p w14:paraId="13D67883" w14:textId="77777777" w:rsidR="00EE05A6" w:rsidRDefault="00EE05A6" w:rsidP="00EE05A6">
      <w:pPr>
        <w:spacing w:after="240"/>
        <w:rPr>
          <w:rFonts w:ascii="Arial" w:hAnsi="Arial" w:cs="Arial"/>
          <w:color w:val="000000"/>
          <w:sz w:val="20"/>
          <w:szCs w:val="20"/>
        </w:rPr>
      </w:pPr>
      <w:hyperlink r:id="rId27" w:history="1">
        <w:r>
          <w:rPr>
            <w:rStyle w:val="Hyperlink"/>
          </w:rPr>
          <w:t>500780258</w:t>
        </w:r>
      </w:hyperlink>
      <w:r>
        <w:t xml:space="preserve"> | </w:t>
      </w:r>
      <w:r>
        <w:rPr>
          <w:b/>
          <w:bCs/>
        </w:rPr>
        <w:t>Gakseong (Korean calligrapher and monk, 1575-1660)</w:t>
      </w:r>
      <w:r>
        <w:t xml:space="preserve"> | Persons, Artists</w:t>
      </w:r>
      <w:r>
        <w:br/>
      </w:r>
      <w:hyperlink r:id="rId28" w:history="1">
        <w:r>
          <w:rPr>
            <w:rStyle w:val="Hyperlink"/>
          </w:rPr>
          <w:t>500780327</w:t>
        </w:r>
      </w:hyperlink>
      <w:r>
        <w:t xml:space="preserve"> | </w:t>
      </w:r>
      <w:r>
        <w:rPr>
          <w:b/>
          <w:bCs/>
        </w:rPr>
        <w:t>Kim Geonjong (Korean painter and court artist, 1781-1841)</w:t>
      </w:r>
      <w:r>
        <w:t xml:space="preserve"> | Persons, Artists</w:t>
      </w:r>
      <w:r>
        <w:br/>
      </w:r>
      <w:hyperlink r:id="rId29" w:history="1">
        <w:r>
          <w:rPr>
            <w:rStyle w:val="Hyperlink"/>
          </w:rPr>
          <w:t>500573642</w:t>
        </w:r>
      </w:hyperlink>
      <w:r>
        <w:t xml:space="preserve"> | </w:t>
      </w:r>
      <w:r>
        <w:rPr>
          <w:b/>
          <w:bCs/>
        </w:rPr>
        <w:t>Meyer, Sophie (German painter, 1847-1921)</w:t>
      </w:r>
      <w:r>
        <w:t xml:space="preserve"> | Persons, Artists</w:t>
      </w:r>
      <w:r>
        <w:br/>
      </w:r>
      <w:hyperlink r:id="rId30" w:history="1">
        <w:r>
          <w:rPr>
            <w:rStyle w:val="Hyperlink"/>
          </w:rPr>
          <w:t>500581513</w:t>
        </w:r>
      </w:hyperlink>
      <w:r>
        <w:t xml:space="preserve"> | </w:t>
      </w:r>
      <w:r>
        <w:rPr>
          <w:b/>
          <w:bCs/>
        </w:rPr>
        <w:t>Michalak, Wanda (Polish photographer, 1953-)</w:t>
      </w:r>
      <w:r>
        <w:t xml:space="preserve"> | Persons, Artists</w:t>
      </w:r>
      <w:r>
        <w:br/>
      </w:r>
      <w:hyperlink r:id="rId31" w:history="1">
        <w:r>
          <w:rPr>
            <w:rStyle w:val="Hyperlink"/>
          </w:rPr>
          <w:t>500584185</w:t>
        </w:r>
      </w:hyperlink>
      <w:r>
        <w:t xml:space="preserve"> | </w:t>
      </w:r>
      <w:r>
        <w:rPr>
          <w:b/>
          <w:bCs/>
        </w:rPr>
        <w:t>Marcinkeviča, Līga (Latvian installation artist, born 1975)</w:t>
      </w:r>
      <w:r>
        <w:t xml:space="preserve"> | Persons, Artists</w:t>
      </w:r>
      <w:r>
        <w:br/>
      </w:r>
      <w:hyperlink r:id="rId32" w:history="1">
        <w:r>
          <w:rPr>
            <w:rStyle w:val="Hyperlink"/>
          </w:rPr>
          <w:t>500390688</w:t>
        </w:r>
      </w:hyperlink>
      <w:r>
        <w:t xml:space="preserve"> | </w:t>
      </w:r>
      <w:r>
        <w:rPr>
          <w:b/>
          <w:bCs/>
        </w:rPr>
        <w:t>Noser, Peter (Swiss artist, born 1952)</w:t>
      </w:r>
      <w:r>
        <w:t xml:space="preserve"> | Persons, Artists</w:t>
      </w:r>
      <w:r>
        <w:br/>
      </w:r>
      <w:hyperlink r:id="rId33" w:history="1">
        <w:r>
          <w:rPr>
            <w:rStyle w:val="Hyperlink"/>
          </w:rPr>
          <w:t>500390691</w:t>
        </w:r>
      </w:hyperlink>
      <w:r>
        <w:t xml:space="preserve"> | </w:t>
      </w:r>
      <w:r>
        <w:rPr>
          <w:b/>
          <w:bCs/>
        </w:rPr>
        <w:t>Nott, Andrew (Australian painter, born 1946, active in London)</w:t>
      </w:r>
      <w:r>
        <w:t xml:space="preserve"> | Persons, Artists</w:t>
      </w:r>
      <w:r>
        <w:br/>
      </w:r>
      <w:hyperlink r:id="rId34" w:history="1">
        <w:r>
          <w:rPr>
            <w:rStyle w:val="Hyperlink"/>
          </w:rPr>
          <w:t>500780196</w:t>
        </w:r>
      </w:hyperlink>
      <w:r>
        <w:t xml:space="preserve"> | </w:t>
      </w:r>
      <w:r>
        <w:rPr>
          <w:b/>
          <w:bCs/>
        </w:rPr>
        <w:t>Warren &amp; Smith (American architectural firm, established 1900)</w:t>
      </w:r>
      <w:r>
        <w:t xml:space="preserve"> | Corporate Bodies</w:t>
      </w:r>
      <w:r>
        <w:br/>
      </w:r>
      <w:hyperlink r:id="rId35" w:history="1">
        <w:r>
          <w:rPr>
            <w:rStyle w:val="Hyperlink"/>
          </w:rPr>
          <w:t>500780199</w:t>
        </w:r>
      </w:hyperlink>
      <w:r>
        <w:t xml:space="preserve"> | </w:t>
      </w:r>
      <w:r>
        <w:rPr>
          <w:b/>
          <w:bCs/>
        </w:rPr>
        <w:t>Palmer, George Carnegie (American architect, 1861-1934)</w:t>
      </w:r>
      <w:r>
        <w:t xml:space="preserve"> | Persons, Artists</w:t>
      </w:r>
      <w:r>
        <w:br/>
      </w:r>
      <w:hyperlink r:id="rId36" w:history="1">
        <w:r>
          <w:rPr>
            <w:rStyle w:val="Hyperlink"/>
          </w:rPr>
          <w:t>500780167</w:t>
        </w:r>
      </w:hyperlink>
      <w:r>
        <w:t xml:space="preserve"> | </w:t>
      </w:r>
      <w:r>
        <w:rPr>
          <w:b/>
          <w:bCs/>
        </w:rPr>
        <w:t>Molenberg, Juan Alberto (Argentine painter, 1921-2011)</w:t>
      </w:r>
      <w:r>
        <w:t xml:space="preserve"> | Persons, Artists</w:t>
      </w:r>
      <w:r>
        <w:br/>
      </w:r>
      <w:hyperlink r:id="rId37" w:history="1">
        <w:r>
          <w:rPr>
            <w:rStyle w:val="Hyperlink"/>
          </w:rPr>
          <w:t>500780210</w:t>
        </w:r>
      </w:hyperlink>
      <w:r>
        <w:t xml:space="preserve"> | </w:t>
      </w:r>
      <w:r>
        <w:rPr>
          <w:b/>
          <w:bCs/>
        </w:rPr>
        <w:t>Bester, Idabell (African American quiltmaker, 1901-1993)</w:t>
      </w:r>
      <w:r>
        <w:t xml:space="preserve"> | Persons, Artists</w:t>
      </w:r>
      <w:r>
        <w:br/>
      </w:r>
      <w:hyperlink r:id="rId38" w:history="1">
        <w:r>
          <w:rPr>
            <w:rStyle w:val="Hyperlink"/>
          </w:rPr>
          <w:t>500780217</w:t>
        </w:r>
      </w:hyperlink>
      <w:r>
        <w:t xml:space="preserve"> | </w:t>
      </w:r>
      <w:r>
        <w:rPr>
          <w:b/>
          <w:bCs/>
        </w:rPr>
        <w:t>Septimia Zenobia (Ancient Syrian queen, 3rd century)</w:t>
      </w:r>
      <w:r>
        <w:t xml:space="preserve"> | Non-Artists</w:t>
      </w:r>
    </w:p>
    <w:p w14:paraId="25D9F54F" w14:textId="77777777" w:rsidR="00EE05A6" w:rsidRDefault="00EE05A6" w:rsidP="00EE05A6">
      <w:pPr>
        <w:rPr>
          <w:rFonts w:ascii="Arial" w:hAnsi="Arial" w:cs="Arial"/>
          <w:b/>
          <w:bCs/>
          <w:sz w:val="20"/>
          <w:szCs w:val="20"/>
        </w:rPr>
      </w:pPr>
    </w:p>
    <w:p w14:paraId="35A4A89F" w14:textId="77777777" w:rsidR="00EE05A6" w:rsidRDefault="00EE05A6" w:rsidP="00EE05A6">
      <w:pPr>
        <w:rPr>
          <w:rFonts w:ascii="Arial" w:hAnsi="Arial" w:cs="Arial"/>
          <w:sz w:val="20"/>
          <w:szCs w:val="20"/>
        </w:rPr>
      </w:pPr>
      <w:r>
        <w:rPr>
          <w:rFonts w:ascii="Arial" w:hAnsi="Arial" w:cs="Arial"/>
          <w:b/>
          <w:bCs/>
          <w:sz w:val="20"/>
          <w:szCs w:val="20"/>
        </w:rPr>
        <w:t xml:space="preserve">CONA: </w:t>
      </w:r>
      <w:r>
        <w:rPr>
          <w:rFonts w:ascii="Arial" w:hAnsi="Arial" w:cs="Arial"/>
          <w:sz w:val="20"/>
          <w:szCs w:val="20"/>
        </w:rPr>
        <w:t>Records newly available in CONA this quarter included architects and patrons submitted by the BWR (Avery, ARTstor, GRI, AIIS, Bryn Mawr, Princeton, Cornell, Harvard, Blair Bloom, HCAP, LoC CAS, SAHARA, UCSD, WMF, UTLong, ArtOnFile), focusing on records for public buildings, religious buildings, residences, and others.</w:t>
      </w:r>
    </w:p>
    <w:p w14:paraId="08E5BC33" w14:textId="77777777" w:rsidR="00EE05A6" w:rsidRDefault="00EE05A6" w:rsidP="00EE05A6">
      <w:pPr>
        <w:spacing w:after="240"/>
        <w:rPr>
          <w:rFonts w:ascii="Arial" w:hAnsi="Arial" w:cs="Arial"/>
          <w:sz w:val="20"/>
          <w:szCs w:val="20"/>
        </w:rPr>
      </w:pPr>
      <w:hyperlink r:id="rId39" w:history="1">
        <w:r>
          <w:rPr>
            <w:rStyle w:val="Hyperlink"/>
          </w:rPr>
          <w:t>700035439</w:t>
        </w:r>
      </w:hyperlink>
      <w:r>
        <w:t xml:space="preserve"> | </w:t>
      </w:r>
      <w:r>
        <w:rPr>
          <w:b/>
          <w:bCs/>
        </w:rPr>
        <w:t xml:space="preserve">Löyly Sauna </w:t>
      </w:r>
      <w:r>
        <w:t>| sauna (space); Avanto Architects; 2019; Helsinki (Suomi...</w:t>
      </w:r>
      <w:r>
        <w:br/>
      </w:r>
      <w:hyperlink r:id="rId40" w:history="1">
        <w:r>
          <w:rPr>
            <w:rStyle w:val="Hyperlink"/>
          </w:rPr>
          <w:t>700046620</w:t>
        </w:r>
      </w:hyperlink>
      <w:r>
        <w:t xml:space="preserve"> | </w:t>
      </w:r>
      <w:r>
        <w:rPr>
          <w:b/>
          <w:bCs/>
        </w:rPr>
        <w:t>Shoden-ji Temple</w:t>
      </w:r>
      <w:r>
        <w:t xml:space="preserve"> | temple (building); 1268; Kyoto (Kyoto, Nihon,... </w:t>
      </w:r>
      <w:r>
        <w:br/>
      </w:r>
      <w:hyperlink r:id="rId41" w:history="1">
        <w:r>
          <w:rPr>
            <w:rStyle w:val="Hyperlink"/>
          </w:rPr>
          <w:t>700033239</w:t>
        </w:r>
      </w:hyperlink>
      <w:r>
        <w:t xml:space="preserve"> | </w:t>
      </w:r>
      <w:r>
        <w:rPr>
          <w:b/>
          <w:bCs/>
        </w:rPr>
        <w:t>Ippodromo di Tor di Valle</w:t>
      </w:r>
      <w:r>
        <w:t xml:space="preserve"> | racetrack (complex); architect Julio Lafuente; 1959; Rome (Italia,...</w:t>
      </w:r>
      <w:r>
        <w:br/>
      </w:r>
      <w:hyperlink r:id="rId42" w:history="1">
        <w:r>
          <w:rPr>
            <w:rStyle w:val="Hyperlink"/>
          </w:rPr>
          <w:t>700047851</w:t>
        </w:r>
      </w:hyperlink>
      <w:r>
        <w:t xml:space="preserve"> | </w:t>
      </w:r>
      <w:r>
        <w:rPr>
          <w:b/>
          <w:bCs/>
        </w:rPr>
        <w:t>Pergolese Theater</w:t>
      </w:r>
      <w:r>
        <w:t xml:space="preserve"> | theater (building); Florence (Toscana, Italia...</w:t>
      </w:r>
      <w:r>
        <w:br/>
      </w:r>
      <w:bookmarkStart w:id="3" w:name="_Hlk164165517"/>
      <w:r>
        <w:fldChar w:fldCharType="begin"/>
      </w:r>
      <w:r>
        <w:instrText>HYPERLINK "http://vocab.getty.edu/page/cona/700025492"</w:instrText>
      </w:r>
      <w:r>
        <w:fldChar w:fldCharType="separate"/>
      </w:r>
      <w:r>
        <w:rPr>
          <w:rStyle w:val="Hyperlink"/>
        </w:rPr>
        <w:t>700025492</w:t>
      </w:r>
      <w:r>
        <w:fldChar w:fldCharType="end"/>
      </w:r>
      <w:r>
        <w:t xml:space="preserve"> | </w:t>
      </w:r>
      <w:r>
        <w:rPr>
          <w:b/>
          <w:bCs/>
        </w:rPr>
        <w:t>Fodero Diner</w:t>
      </w:r>
      <w:r>
        <w:t xml:space="preserve"> | diner; Fodero Dining Car Company; mid-1900s; Norwalk (Fairfield, Connecticut,..</w:t>
      </w:r>
      <w:r>
        <w:br/>
      </w:r>
      <w:hyperlink r:id="rId43" w:history="1">
        <w:r>
          <w:rPr>
            <w:rStyle w:val="Hyperlink"/>
          </w:rPr>
          <w:t>700025768</w:t>
        </w:r>
      </w:hyperlink>
      <w:r>
        <w:t xml:space="preserve"> | </w:t>
      </w:r>
      <w:r>
        <w:rPr>
          <w:b/>
          <w:bCs/>
        </w:rPr>
        <w:t>Plant Cafe Organic</w:t>
      </w:r>
      <w:r>
        <w:t xml:space="preserve"> | restaurant; CCS Architecture; contemporary; San Francisco (California...</w:t>
      </w:r>
      <w:r>
        <w:br/>
      </w:r>
      <w:hyperlink r:id="rId44" w:history="1">
        <w:r>
          <w:rPr>
            <w:rStyle w:val="Hyperlink"/>
          </w:rPr>
          <w:t>700026038</w:t>
        </w:r>
      </w:hyperlink>
      <w:r>
        <w:t xml:space="preserve"> | </w:t>
      </w:r>
      <w:r>
        <w:rPr>
          <w:b/>
          <w:bCs/>
        </w:rPr>
        <w:t>MuSh Residence</w:t>
      </w:r>
      <w:r>
        <w:t xml:space="preserve"> | house; LAB+ Architects; Studio 0.10; 2009; Los Angeles </w:t>
      </w:r>
      <w:r>
        <w:lastRenderedPageBreak/>
        <w:t>(California,...</w:t>
      </w:r>
      <w:r>
        <w:br/>
      </w:r>
      <w:hyperlink r:id="rId45" w:history="1">
        <w:r>
          <w:rPr>
            <w:rStyle w:val="Hyperlink"/>
          </w:rPr>
          <w:t>700026879</w:t>
        </w:r>
      </w:hyperlink>
      <w:r>
        <w:t xml:space="preserve"> | </w:t>
      </w:r>
      <w:r>
        <w:rPr>
          <w:b/>
          <w:bCs/>
        </w:rPr>
        <w:t>Dynamo Metal Workshop</w:t>
      </w:r>
      <w:r>
        <w:t xml:space="preserve"> | workshop building; phalt Architekten; 2006-2008; Zurich (, Schweiz, </w:t>
      </w:r>
      <w:r>
        <w:br/>
      </w:r>
      <w:hyperlink r:id="rId46" w:history="1">
        <w:r>
          <w:rPr>
            <w:rStyle w:val="Hyperlink"/>
          </w:rPr>
          <w:t>700027638</w:t>
        </w:r>
      </w:hyperlink>
      <w:r>
        <w:t xml:space="preserve"> | </w:t>
      </w:r>
      <w:r>
        <w:rPr>
          <w:b/>
          <w:bCs/>
        </w:rPr>
        <w:t>Älvstranden Bildningscentrum</w:t>
      </w:r>
      <w:r>
        <w:t xml:space="preserve"> | cultural center; LLP Arkitektkontor; … 2010; Hagfors (Sverige,...</w:t>
      </w:r>
      <w:r>
        <w:br/>
      </w:r>
      <w:hyperlink r:id="rId47" w:history="1">
        <w:r>
          <w:rPr>
            <w:rStyle w:val="Hyperlink"/>
          </w:rPr>
          <w:t>700048090</w:t>
        </w:r>
      </w:hyperlink>
      <w:r>
        <w:t xml:space="preserve"> | </w:t>
      </w:r>
      <w:r>
        <w:rPr>
          <w:b/>
          <w:bCs/>
        </w:rPr>
        <w:t>West Palace</w:t>
      </w:r>
      <w:r>
        <w:t xml:space="preserve"> | palace; Masada (HaDarom, Yisra'el, Asia, World, Top of the TGN hiera...</w:t>
      </w:r>
      <w:r>
        <w:br/>
      </w:r>
      <w:hyperlink r:id="rId48" w:history="1">
        <w:r>
          <w:rPr>
            <w:rStyle w:val="Hyperlink"/>
          </w:rPr>
          <w:t>700048411</w:t>
        </w:r>
      </w:hyperlink>
      <w:r>
        <w:t xml:space="preserve"> | </w:t>
      </w:r>
      <w:r>
        <w:rPr>
          <w:b/>
          <w:bCs/>
        </w:rPr>
        <w:t>Jerwan aqueduct</w:t>
      </w:r>
      <w:r>
        <w:t xml:space="preserve"> | aqueduct; Assyrian; Jerwan (Iraq...</w:t>
      </w:r>
      <w:r>
        <w:br/>
      </w:r>
      <w:hyperlink r:id="rId49" w:history="1">
        <w:r>
          <w:rPr>
            <w:rStyle w:val="Hyperlink"/>
          </w:rPr>
          <w:t>700048504</w:t>
        </w:r>
      </w:hyperlink>
      <w:r>
        <w:t xml:space="preserve"> | </w:t>
      </w:r>
      <w:r>
        <w:rPr>
          <w:b/>
          <w:bCs/>
        </w:rPr>
        <w:t>Ukhaydir Palace</w:t>
      </w:r>
      <w:r>
        <w:t xml:space="preserve"> | palace; Isa Ibn Musa; 778; Al-Kufah (An Najaf, Iraq...</w:t>
      </w:r>
      <w:bookmarkEnd w:id="3"/>
    </w:p>
    <w:p w14:paraId="70719B3C" w14:textId="77777777" w:rsidR="00EE05A6" w:rsidRDefault="00EE05A6" w:rsidP="00EE05A6">
      <w:pPr>
        <w:rPr>
          <w:rFonts w:ascii="Arial" w:hAnsi="Arial" w:cs="Arial"/>
          <w:sz w:val="20"/>
          <w:szCs w:val="20"/>
        </w:rPr>
      </w:pPr>
    </w:p>
    <w:p w14:paraId="515D3B2A" w14:textId="77777777" w:rsidR="00EE05A6" w:rsidRDefault="00EE05A6" w:rsidP="00EE05A6">
      <w:pPr>
        <w:rPr>
          <w:rFonts w:ascii="Arial" w:hAnsi="Arial" w:cs="Arial"/>
          <w:sz w:val="20"/>
          <w:szCs w:val="20"/>
        </w:rPr>
      </w:pPr>
      <w:r>
        <w:rPr>
          <w:rFonts w:ascii="Arial" w:hAnsi="Arial" w:cs="Arial"/>
          <w:b/>
          <w:bCs/>
          <w:sz w:val="20"/>
          <w:szCs w:val="20"/>
        </w:rPr>
        <w:t xml:space="preserve">IA: </w:t>
      </w:r>
      <w:r>
        <w:rPr>
          <w:rFonts w:ascii="Arial" w:hAnsi="Arial" w:cs="Arial"/>
          <w:sz w:val="20"/>
          <w:szCs w:val="20"/>
        </w:rPr>
        <w:t>Records newly available in IA include topics from BWR, JPGM, among others.</w:t>
      </w:r>
    </w:p>
    <w:p w14:paraId="00B3A988" w14:textId="77777777" w:rsidR="00EE05A6" w:rsidRDefault="00EE05A6" w:rsidP="00EE05A6">
      <w:pPr>
        <w:rPr>
          <w:rFonts w:ascii="Arial" w:hAnsi="Arial" w:cs="Arial"/>
          <w:sz w:val="16"/>
          <w:szCs w:val="16"/>
        </w:rPr>
      </w:pPr>
      <w:hyperlink r:id="rId50" w:history="1">
        <w:r>
          <w:rPr>
            <w:rStyle w:val="Hyperlink"/>
          </w:rPr>
          <w:t>901002588</w:t>
        </w:r>
      </w:hyperlink>
      <w:r>
        <w:t xml:space="preserve"> | </w:t>
      </w:r>
      <w:r>
        <w:rPr>
          <w:b/>
          <w:bCs/>
        </w:rPr>
        <w:t>Agemo (Yoruban orisha)</w:t>
      </w:r>
      <w:r>
        <w:t xml:space="preserve"> | (African characters, African iconography, Legend, Religion, Mythology)</w:t>
      </w:r>
      <w:r>
        <w:br/>
      </w:r>
      <w:hyperlink r:id="rId51" w:history="1">
        <w:r>
          <w:rPr>
            <w:rStyle w:val="Hyperlink"/>
          </w:rPr>
          <w:t>901002590</w:t>
        </w:r>
      </w:hyperlink>
      <w:r>
        <w:t xml:space="preserve"> | </w:t>
      </w:r>
      <w:r>
        <w:rPr>
          <w:b/>
          <w:bCs/>
        </w:rPr>
        <w:t xml:space="preserve">Yuanshi Tianzun (Taoist character) </w:t>
      </w:r>
      <w:r>
        <w:t>| (Three Pure Ones, Taoist iconography, Legend, Religion</w:t>
      </w:r>
      <w:r>
        <w:rPr>
          <w:b/>
          <w:bCs/>
        </w:rPr>
        <w:br/>
      </w:r>
      <w:hyperlink r:id="rId52" w:history="1">
        <w:r>
          <w:rPr>
            <w:rStyle w:val="Hyperlink"/>
          </w:rPr>
          <w:t>901002593</w:t>
        </w:r>
      </w:hyperlink>
      <w:r>
        <w:t xml:space="preserve"> | </w:t>
      </w:r>
      <w:r>
        <w:rPr>
          <w:b/>
          <w:bCs/>
        </w:rPr>
        <w:t xml:space="preserve">Three Pure Ones (Taoist characters) </w:t>
      </w:r>
      <w:r>
        <w:t xml:space="preserve">| (Taoist iconography, Legend, Religion, Mythology </w:t>
      </w:r>
      <w:r>
        <w:br/>
      </w:r>
      <w:hyperlink r:id="rId53" w:history="1">
        <w:r>
          <w:rPr>
            <w:rStyle w:val="Hyperlink"/>
          </w:rPr>
          <w:t>901002594</w:t>
        </w:r>
      </w:hyperlink>
      <w:r>
        <w:t xml:space="preserve"> | </w:t>
      </w:r>
      <w:r>
        <w:rPr>
          <w:b/>
          <w:bCs/>
        </w:rPr>
        <w:t xml:space="preserve">Siege of Zama (Algerian-Roman event) </w:t>
      </w:r>
      <w:r>
        <w:t>| African history, Named Events</w:t>
      </w:r>
      <w:r>
        <w:br/>
      </w:r>
      <w:hyperlink r:id="rId54" w:history="1">
        <w:r>
          <w:rPr>
            <w:rStyle w:val="Hyperlink"/>
          </w:rPr>
          <w:t>901002595</w:t>
        </w:r>
      </w:hyperlink>
      <w:r>
        <w:t xml:space="preserve"> | </w:t>
      </w:r>
      <w:r>
        <w:rPr>
          <w:b/>
          <w:bCs/>
        </w:rPr>
        <w:t xml:space="preserve">Zauberring (German novel, 1812) </w:t>
      </w:r>
      <w:r>
        <w:t>| Literary works: Prose (novels, etc.)</w:t>
      </w:r>
      <w:r>
        <w:br/>
      </w:r>
      <w:hyperlink r:id="rId55" w:history="1">
        <w:r>
          <w:rPr>
            <w:rStyle w:val="Hyperlink"/>
          </w:rPr>
          <w:t>901002597</w:t>
        </w:r>
      </w:hyperlink>
      <w:r>
        <w:t xml:space="preserve"> | </w:t>
      </w:r>
      <w:r>
        <w:rPr>
          <w:b/>
          <w:bCs/>
        </w:rPr>
        <w:t xml:space="preserve">Drunkenness (allegorical character) </w:t>
      </w:r>
      <w:r>
        <w:t>| Miscellaneous allegorical or symbolic …</w:t>
      </w:r>
      <w:r>
        <w:br/>
      </w:r>
      <w:hyperlink r:id="rId56" w:history="1">
        <w:r>
          <w:rPr>
            <w:rStyle w:val="Hyperlink"/>
          </w:rPr>
          <w:t>901002598</w:t>
        </w:r>
      </w:hyperlink>
      <w:r>
        <w:t xml:space="preserve"> | </w:t>
      </w:r>
      <w:r>
        <w:rPr>
          <w:b/>
          <w:bCs/>
        </w:rPr>
        <w:t xml:space="preserve">Rohe </w:t>
      </w:r>
      <w:r>
        <w:t xml:space="preserve">| </w:t>
      </w:r>
      <w:r>
        <w:rPr>
          <w:b/>
          <w:bCs/>
        </w:rPr>
        <w:t>(Maori deity)</w:t>
      </w:r>
      <w:r>
        <w:t xml:space="preserve"> (Pacific Islander deity) (Pacific Islander characters, Legend…)</w:t>
      </w:r>
      <w:bookmarkEnd w:id="0"/>
    </w:p>
    <w:p w14:paraId="077B6FC5" w14:textId="77777777" w:rsidR="00EE05A6" w:rsidRDefault="00EE05A6" w:rsidP="00EE05A6">
      <w:pPr>
        <w:rPr>
          <w:rFonts w:ascii="Aptos" w:hAnsi="Aptos" w:cs="Aptos"/>
        </w:rPr>
      </w:pPr>
    </w:p>
    <w:p w14:paraId="62744435" w14:textId="77777777" w:rsidR="00EE05A6" w:rsidRDefault="00EE05A6" w:rsidP="006D04CE">
      <w:pPr>
        <w:spacing w:after="0" w:line="240" w:lineRule="auto"/>
        <w:rPr>
          <w:rFonts w:cstheme="minorHAnsi"/>
          <w:bCs/>
          <w:sz w:val="24"/>
          <w:szCs w:val="24"/>
        </w:rPr>
      </w:pPr>
    </w:p>
    <w:p w14:paraId="44682D67" w14:textId="77777777" w:rsidR="008E52A2" w:rsidRDefault="008E52A2" w:rsidP="006D04CE">
      <w:pPr>
        <w:spacing w:after="0" w:line="240" w:lineRule="auto"/>
        <w:rPr>
          <w:rFonts w:cstheme="minorHAnsi"/>
          <w:bCs/>
          <w:sz w:val="24"/>
          <w:szCs w:val="24"/>
        </w:rPr>
      </w:pPr>
    </w:p>
    <w:p w14:paraId="59544E5B" w14:textId="77777777" w:rsidR="008E52A2" w:rsidRDefault="008E52A2" w:rsidP="006D04CE">
      <w:pPr>
        <w:spacing w:after="0" w:line="240" w:lineRule="auto"/>
        <w:rPr>
          <w:rFonts w:cstheme="minorHAnsi"/>
          <w:bCs/>
          <w:sz w:val="24"/>
          <w:szCs w:val="24"/>
        </w:rPr>
      </w:pPr>
    </w:p>
    <w:p w14:paraId="54F8DBEE" w14:textId="77777777" w:rsidR="00B86E1E" w:rsidRDefault="00B86E1E" w:rsidP="006D04CE">
      <w:pPr>
        <w:spacing w:after="0" w:line="240" w:lineRule="auto"/>
        <w:rPr>
          <w:rFonts w:cstheme="minorHAnsi"/>
          <w:bCs/>
          <w:sz w:val="24"/>
          <w:szCs w:val="24"/>
        </w:rPr>
      </w:pPr>
    </w:p>
    <w:p w14:paraId="5022BEF9" w14:textId="53007E44" w:rsidR="00B86E1E" w:rsidRPr="008C3379" w:rsidRDefault="00B86E1E" w:rsidP="006D04CE">
      <w:pPr>
        <w:spacing w:after="0" w:line="240" w:lineRule="auto"/>
        <w:rPr>
          <w:rFonts w:cstheme="minorHAnsi"/>
          <w:bCs/>
          <w:sz w:val="24"/>
          <w:szCs w:val="24"/>
        </w:rPr>
      </w:pPr>
      <w:r>
        <w:rPr>
          <w:rFonts w:cstheme="minorHAnsi"/>
          <w:bCs/>
          <w:sz w:val="24"/>
          <w:szCs w:val="24"/>
        </w:rPr>
        <w:t xml:space="preserve"> </w:t>
      </w:r>
    </w:p>
    <w:p w14:paraId="34995C06" w14:textId="2EAE75F3" w:rsidR="006D04CE" w:rsidRDefault="006D04CE" w:rsidP="006D04CE">
      <w:pPr>
        <w:spacing w:after="0" w:line="240" w:lineRule="auto"/>
        <w:rPr>
          <w:rFonts w:cstheme="minorHAnsi"/>
          <w:bCs/>
          <w:sz w:val="24"/>
          <w:szCs w:val="24"/>
        </w:rPr>
      </w:pPr>
    </w:p>
    <w:p w14:paraId="633C9FF1" w14:textId="77777777" w:rsidR="00C27D2E" w:rsidRDefault="00C27D2E"/>
    <w:sectPr w:rsidR="00C27D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Kalinga">
    <w:charset w:val="00"/>
    <w:family w:val="swiss"/>
    <w:pitch w:val="variable"/>
    <w:sig w:usb0="0008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4CE"/>
    <w:rsid w:val="0036112F"/>
    <w:rsid w:val="00437A4B"/>
    <w:rsid w:val="00531D2C"/>
    <w:rsid w:val="00665121"/>
    <w:rsid w:val="006D04CE"/>
    <w:rsid w:val="007B1E25"/>
    <w:rsid w:val="008E52A2"/>
    <w:rsid w:val="00A53796"/>
    <w:rsid w:val="00B86E1E"/>
    <w:rsid w:val="00BC0233"/>
    <w:rsid w:val="00C27D2E"/>
    <w:rsid w:val="00DC16EB"/>
    <w:rsid w:val="00EE05A6"/>
  </w:rsids>
  <m:mathPr>
    <m:mathFont m:val="Cambria Math"/>
    <m:brkBin m:val="before"/>
    <m:brkBinSub m:val="--"/>
    <m:smallFrac m:val="0"/>
    <m:dispDef/>
    <m:lMargin m:val="0"/>
    <m:rMargin m:val="0"/>
    <m:defJc m:val="centerGroup"/>
    <m:wrapIndent m:val="1440"/>
    <m:intLim m:val="subSup"/>
    <m:naryLim m:val="undOvr"/>
  </m:mathPr>
  <w:themeFontLang w:val="en-US" w:bidi="o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8E337"/>
  <w15:chartTrackingRefBased/>
  <w15:docId w15:val="{B41F6B09-3F0B-4557-9453-583E430E7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4CE"/>
    <w:pPr>
      <w:spacing w:before="0" w:beforeAutospacing="0" w:after="160" w:afterAutospacing="0" w:line="259" w:lineRule="auto"/>
    </w:pPr>
    <w:rPr>
      <w:rFonts w:eastAsiaTheme="minorEastAsia"/>
      <w:kern w:val="0"/>
      <w:lang w:eastAsia="zh-TW"/>
      <w14:ligatures w14:val="none"/>
    </w:rPr>
  </w:style>
  <w:style w:type="paragraph" w:styleId="Heading1">
    <w:name w:val="heading 1"/>
    <w:basedOn w:val="Normal"/>
    <w:next w:val="Normal"/>
    <w:link w:val="Heading1Char"/>
    <w:uiPriority w:val="9"/>
    <w:qFormat/>
    <w:rsid w:val="006D04CE"/>
    <w:pPr>
      <w:keepNext/>
      <w:keepLines/>
      <w:spacing w:before="360" w:beforeAutospacing="1" w:after="80" w:afterAutospacing="1" w:line="240"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6D04CE"/>
    <w:pPr>
      <w:keepNext/>
      <w:keepLines/>
      <w:spacing w:before="160" w:beforeAutospacing="1" w:after="80" w:afterAutospacing="1" w:line="240"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D04CE"/>
    <w:pPr>
      <w:keepNext/>
      <w:keepLines/>
      <w:spacing w:before="160" w:beforeAutospacing="1" w:after="80" w:afterAutospacing="1" w:line="240"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D04CE"/>
    <w:pPr>
      <w:keepNext/>
      <w:keepLines/>
      <w:spacing w:before="80" w:beforeAutospacing="1" w:after="40" w:afterAutospacing="1" w:line="240"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6D04CE"/>
    <w:pPr>
      <w:keepNext/>
      <w:keepLines/>
      <w:spacing w:before="80" w:beforeAutospacing="1" w:after="40" w:afterAutospacing="1" w:line="240"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6D04CE"/>
    <w:pPr>
      <w:keepNext/>
      <w:keepLines/>
      <w:spacing w:before="40" w:beforeAutospacing="1" w:after="0" w:afterAutospacing="1" w:line="240"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6D04CE"/>
    <w:pPr>
      <w:keepNext/>
      <w:keepLines/>
      <w:spacing w:before="40" w:beforeAutospacing="1" w:after="0" w:afterAutospacing="1" w:line="240"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6D04CE"/>
    <w:pPr>
      <w:keepNext/>
      <w:keepLines/>
      <w:spacing w:beforeAutospacing="1" w:after="0" w:afterAutospacing="1" w:line="240"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6D04CE"/>
    <w:pPr>
      <w:keepNext/>
      <w:keepLines/>
      <w:spacing w:beforeAutospacing="1" w:after="0" w:afterAutospacing="1" w:line="240"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4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04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4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4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4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4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4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4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4CE"/>
    <w:rPr>
      <w:rFonts w:eastAsiaTheme="majorEastAsia" w:cstheme="majorBidi"/>
      <w:color w:val="272727" w:themeColor="text1" w:themeTint="D8"/>
    </w:rPr>
  </w:style>
  <w:style w:type="paragraph" w:styleId="Title">
    <w:name w:val="Title"/>
    <w:basedOn w:val="Normal"/>
    <w:next w:val="Normal"/>
    <w:link w:val="TitleChar"/>
    <w:uiPriority w:val="10"/>
    <w:qFormat/>
    <w:rsid w:val="006D04CE"/>
    <w:pPr>
      <w:spacing w:beforeAutospacing="1" w:after="80" w:afterAutospacing="1"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D04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4CE"/>
    <w:pPr>
      <w:numPr>
        <w:ilvl w:val="1"/>
      </w:numPr>
      <w:spacing w:before="100" w:beforeAutospacing="1" w:afterAutospacing="1" w:line="240"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D04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4CE"/>
    <w:pPr>
      <w:spacing w:before="160" w:beforeAutospacing="1" w:afterAutospacing="1" w:line="240"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6D04CE"/>
    <w:rPr>
      <w:i/>
      <w:iCs/>
      <w:color w:val="404040" w:themeColor="text1" w:themeTint="BF"/>
    </w:rPr>
  </w:style>
  <w:style w:type="paragraph" w:styleId="ListParagraph">
    <w:name w:val="List Paragraph"/>
    <w:basedOn w:val="Normal"/>
    <w:uiPriority w:val="34"/>
    <w:qFormat/>
    <w:rsid w:val="006D04CE"/>
    <w:pPr>
      <w:spacing w:before="100" w:beforeAutospacing="1" w:after="100" w:afterAutospacing="1" w:line="240"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6D04CE"/>
    <w:rPr>
      <w:i/>
      <w:iCs/>
      <w:color w:val="0F4761" w:themeColor="accent1" w:themeShade="BF"/>
    </w:rPr>
  </w:style>
  <w:style w:type="paragraph" w:styleId="IntenseQuote">
    <w:name w:val="Intense Quote"/>
    <w:basedOn w:val="Normal"/>
    <w:next w:val="Normal"/>
    <w:link w:val="IntenseQuoteChar"/>
    <w:uiPriority w:val="30"/>
    <w:qFormat/>
    <w:rsid w:val="006D04CE"/>
    <w:pPr>
      <w:pBdr>
        <w:top w:val="single" w:sz="4" w:space="10" w:color="0F4761" w:themeColor="accent1" w:themeShade="BF"/>
        <w:bottom w:val="single" w:sz="4" w:space="10" w:color="0F4761" w:themeColor="accent1" w:themeShade="BF"/>
      </w:pBdr>
      <w:spacing w:before="360" w:beforeAutospacing="1" w:after="360" w:afterAutospacing="1" w:line="240"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6D04CE"/>
    <w:rPr>
      <w:i/>
      <w:iCs/>
      <w:color w:val="0F4761" w:themeColor="accent1" w:themeShade="BF"/>
    </w:rPr>
  </w:style>
  <w:style w:type="character" w:styleId="IntenseReference">
    <w:name w:val="Intense Reference"/>
    <w:basedOn w:val="DefaultParagraphFont"/>
    <w:uiPriority w:val="32"/>
    <w:qFormat/>
    <w:rsid w:val="006D04CE"/>
    <w:rPr>
      <w:b/>
      <w:bCs/>
      <w:smallCaps/>
      <w:color w:val="0F4761" w:themeColor="accent1" w:themeShade="BF"/>
      <w:spacing w:val="5"/>
    </w:rPr>
  </w:style>
  <w:style w:type="character" w:styleId="Hyperlink">
    <w:name w:val="Hyperlink"/>
    <w:basedOn w:val="DefaultParagraphFont"/>
    <w:uiPriority w:val="99"/>
    <w:unhideWhenUsed/>
    <w:rsid w:val="00531D2C"/>
    <w:rPr>
      <w:color w:val="467886" w:themeColor="hyperlink"/>
      <w:u w:val="single"/>
    </w:rPr>
  </w:style>
  <w:style w:type="character" w:styleId="UnresolvedMention">
    <w:name w:val="Unresolved Mention"/>
    <w:basedOn w:val="DefaultParagraphFont"/>
    <w:uiPriority w:val="99"/>
    <w:semiHidden/>
    <w:unhideWhenUsed/>
    <w:rsid w:val="00531D2C"/>
    <w:rPr>
      <w:color w:val="605E5C"/>
      <w:shd w:val="clear" w:color="auto" w:fill="E1DFDD"/>
    </w:rPr>
  </w:style>
  <w:style w:type="character" w:customStyle="1" w:styleId="markedcontent">
    <w:name w:val="markedcontent"/>
    <w:basedOn w:val="DefaultParagraphFont"/>
    <w:rsid w:val="00EE0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44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vocab.getty.edu/page/aat/300455765" TargetMode="External"/><Relationship Id="rId18" Type="http://schemas.openxmlformats.org/officeDocument/2006/relationships/hyperlink" Target="http://vocab.getty.edu/page/aat/300455819" TargetMode="External"/><Relationship Id="rId26" Type="http://schemas.openxmlformats.org/officeDocument/2006/relationships/hyperlink" Target="http://vocab.getty.edu/page/tgn/9226876" TargetMode="External"/><Relationship Id="rId39" Type="http://schemas.openxmlformats.org/officeDocument/2006/relationships/hyperlink" Target="http://vocab.getty.edu/page/cona/700035439" TargetMode="External"/><Relationship Id="rId21" Type="http://schemas.openxmlformats.org/officeDocument/2006/relationships/hyperlink" Target="http://vocab.getty.edu/page/tgn/9226856" TargetMode="External"/><Relationship Id="rId34" Type="http://schemas.openxmlformats.org/officeDocument/2006/relationships/hyperlink" Target="http://vocab.getty.edu/page/ulan/500780196" TargetMode="External"/><Relationship Id="rId42" Type="http://schemas.openxmlformats.org/officeDocument/2006/relationships/hyperlink" Target="http://vocab.getty.edu/page/cona/700047851" TargetMode="External"/><Relationship Id="rId47" Type="http://schemas.openxmlformats.org/officeDocument/2006/relationships/hyperlink" Target="http://vocab.getty.edu/page/cona/700048090" TargetMode="External"/><Relationship Id="rId50" Type="http://schemas.openxmlformats.org/officeDocument/2006/relationships/hyperlink" Target="http://vocab.getty.edu/page/ia/901002588" TargetMode="External"/><Relationship Id="rId55" Type="http://schemas.openxmlformats.org/officeDocument/2006/relationships/hyperlink" Target="http://vocab.getty.edu/page/ia/901002597" TargetMode="External"/><Relationship Id="rId7" Type="http://schemas.openxmlformats.org/officeDocument/2006/relationships/hyperlink" Target="http://vocab.getty.edu/page/aat/300455844" TargetMode="External"/><Relationship Id="rId2" Type="http://schemas.openxmlformats.org/officeDocument/2006/relationships/settings" Target="settings.xml"/><Relationship Id="rId16" Type="http://schemas.openxmlformats.org/officeDocument/2006/relationships/hyperlink" Target="http://vocab.getty.edu/page/aat/300455812" TargetMode="External"/><Relationship Id="rId29" Type="http://schemas.openxmlformats.org/officeDocument/2006/relationships/hyperlink" Target="http://vocab.getty.edu/page/ulan/500573642" TargetMode="External"/><Relationship Id="rId11" Type="http://schemas.openxmlformats.org/officeDocument/2006/relationships/hyperlink" Target="http://vocab.getty.edu/page/aat/300455761" TargetMode="External"/><Relationship Id="rId24" Type="http://schemas.openxmlformats.org/officeDocument/2006/relationships/hyperlink" Target="http://vocab.getty.edu/page/tgn/9226899" TargetMode="External"/><Relationship Id="rId32" Type="http://schemas.openxmlformats.org/officeDocument/2006/relationships/hyperlink" Target="http://vocab.getty.edu/page/ulan/500390688" TargetMode="External"/><Relationship Id="rId37" Type="http://schemas.openxmlformats.org/officeDocument/2006/relationships/hyperlink" Target="http://vocab.getty.edu/page/ulan/500780210" TargetMode="External"/><Relationship Id="rId40" Type="http://schemas.openxmlformats.org/officeDocument/2006/relationships/hyperlink" Target="http://vocab.getty.edu/page/cona/700046620" TargetMode="External"/><Relationship Id="rId45" Type="http://schemas.openxmlformats.org/officeDocument/2006/relationships/hyperlink" Target="http://vocab.getty.edu/page/cona/700026879" TargetMode="External"/><Relationship Id="rId53" Type="http://schemas.openxmlformats.org/officeDocument/2006/relationships/hyperlink" Target="http://vocab.getty.edu/page/ia/901002594" TargetMode="External"/><Relationship Id="rId58" Type="http://schemas.openxmlformats.org/officeDocument/2006/relationships/theme" Target="theme/theme1.xml"/><Relationship Id="rId5" Type="http://schemas.openxmlformats.org/officeDocument/2006/relationships/hyperlink" Target="https://www.getty.edu/research/tools/vocabularies/guidelines/aat_monthly_new_recs.pdf" TargetMode="External"/><Relationship Id="rId19" Type="http://schemas.openxmlformats.org/officeDocument/2006/relationships/hyperlink" Target="http://vocab.getty.edu/page/aat/300455820" TargetMode="External"/><Relationship Id="rId4" Type="http://schemas.openxmlformats.org/officeDocument/2006/relationships/hyperlink" Target="https://www.getty.edu/vow/TGNFullDisplay?find=Ak-Chin+Indian+Community&amp;place=&amp;nation=&amp;prev_page=1&amp;english=Y&amp;subjectid=9226819" TargetMode="External"/><Relationship Id="rId9" Type="http://schemas.openxmlformats.org/officeDocument/2006/relationships/hyperlink" Target="http://vocab.getty.edu/page/aat/300411239" TargetMode="External"/><Relationship Id="rId14" Type="http://schemas.openxmlformats.org/officeDocument/2006/relationships/hyperlink" Target="http://vocab.getty.edu/page/aat/300455833" TargetMode="External"/><Relationship Id="rId22" Type="http://schemas.openxmlformats.org/officeDocument/2006/relationships/hyperlink" Target="http://vocab.getty.edu/page/tgn/9226880" TargetMode="External"/><Relationship Id="rId27" Type="http://schemas.openxmlformats.org/officeDocument/2006/relationships/hyperlink" Target="http://vocab.getty.edu/page/ulan/500780258" TargetMode="External"/><Relationship Id="rId30" Type="http://schemas.openxmlformats.org/officeDocument/2006/relationships/hyperlink" Target="http://vocab.getty.edu/page/ulan/500581513" TargetMode="External"/><Relationship Id="rId35" Type="http://schemas.openxmlformats.org/officeDocument/2006/relationships/hyperlink" Target="http://vocab.getty.edu/page/ulan/500780199" TargetMode="External"/><Relationship Id="rId43" Type="http://schemas.openxmlformats.org/officeDocument/2006/relationships/hyperlink" Target="http://vocab.getty.edu/page/cona/700025768" TargetMode="External"/><Relationship Id="rId48" Type="http://schemas.openxmlformats.org/officeDocument/2006/relationships/hyperlink" Target="http://vocab.getty.edu/page/cona/700048411" TargetMode="External"/><Relationship Id="rId56" Type="http://schemas.openxmlformats.org/officeDocument/2006/relationships/hyperlink" Target="http://vocab.getty.edu/page/ia/901002598" TargetMode="External"/><Relationship Id="rId8" Type="http://schemas.openxmlformats.org/officeDocument/2006/relationships/hyperlink" Target="http://vocab.getty.edu/page/aat/300301504" TargetMode="External"/><Relationship Id="rId51" Type="http://schemas.openxmlformats.org/officeDocument/2006/relationships/hyperlink" Target="http://vocab.getty.edu/page/ia/901002590" TargetMode="External"/><Relationship Id="rId3" Type="http://schemas.openxmlformats.org/officeDocument/2006/relationships/webSettings" Target="webSettings.xml"/><Relationship Id="rId12" Type="http://schemas.openxmlformats.org/officeDocument/2006/relationships/hyperlink" Target="http://vocab.getty.edu/page/aat/300455762" TargetMode="External"/><Relationship Id="rId17" Type="http://schemas.openxmlformats.org/officeDocument/2006/relationships/hyperlink" Target="http://vocab.getty.edu/page/aat/300455818" TargetMode="External"/><Relationship Id="rId25" Type="http://schemas.openxmlformats.org/officeDocument/2006/relationships/hyperlink" Target="http://vocab.getty.edu/page/tgn/9226901" TargetMode="External"/><Relationship Id="rId33" Type="http://schemas.openxmlformats.org/officeDocument/2006/relationships/hyperlink" Target="http://vocab.getty.edu/page/ulan/500390691" TargetMode="External"/><Relationship Id="rId38" Type="http://schemas.openxmlformats.org/officeDocument/2006/relationships/hyperlink" Target="http://vocab.getty.edu/page/ulan/500780217" TargetMode="External"/><Relationship Id="rId46" Type="http://schemas.openxmlformats.org/officeDocument/2006/relationships/hyperlink" Target="http://vocab.getty.edu/page/cona/700027638" TargetMode="External"/><Relationship Id="rId20" Type="http://schemas.openxmlformats.org/officeDocument/2006/relationships/hyperlink" Target="http://vocab.getty.edu/page/aat/300455822" TargetMode="External"/><Relationship Id="rId41" Type="http://schemas.openxmlformats.org/officeDocument/2006/relationships/hyperlink" Target="http://vocab.getty.edu/page/cona/700033239" TargetMode="External"/><Relationship Id="rId54" Type="http://schemas.openxmlformats.org/officeDocument/2006/relationships/hyperlink" Target="http://vocab.getty.edu/page/ia/901002595" TargetMode="External"/><Relationship Id="rId1" Type="http://schemas.openxmlformats.org/officeDocument/2006/relationships/styles" Target="styles.xml"/><Relationship Id="rId6" Type="http://schemas.openxmlformats.org/officeDocument/2006/relationships/hyperlink" Target="mailto:vocab@getty.edu" TargetMode="External"/><Relationship Id="rId15" Type="http://schemas.openxmlformats.org/officeDocument/2006/relationships/hyperlink" Target="http://vocab.getty.edu/page/aat/300455807" TargetMode="External"/><Relationship Id="rId23" Type="http://schemas.openxmlformats.org/officeDocument/2006/relationships/hyperlink" Target="http://vocab.getty.edu/page/tgn/9226887" TargetMode="External"/><Relationship Id="rId28" Type="http://schemas.openxmlformats.org/officeDocument/2006/relationships/hyperlink" Target="http://vocab.getty.edu/page/ulan/500780327" TargetMode="External"/><Relationship Id="rId36" Type="http://schemas.openxmlformats.org/officeDocument/2006/relationships/hyperlink" Target="http://vocab.getty.edu/page/ulan/500780167" TargetMode="External"/><Relationship Id="rId49" Type="http://schemas.openxmlformats.org/officeDocument/2006/relationships/hyperlink" Target="http://vocab.getty.edu/page/cona/700048504" TargetMode="External"/><Relationship Id="rId57" Type="http://schemas.openxmlformats.org/officeDocument/2006/relationships/fontTable" Target="fontTable.xml"/><Relationship Id="rId10" Type="http://schemas.openxmlformats.org/officeDocument/2006/relationships/hyperlink" Target="http://vocab.getty.edu/page/aat/300023426" TargetMode="External"/><Relationship Id="rId31" Type="http://schemas.openxmlformats.org/officeDocument/2006/relationships/hyperlink" Target="http://vocab.getty.edu/page/ulan/500584185" TargetMode="External"/><Relationship Id="rId44" Type="http://schemas.openxmlformats.org/officeDocument/2006/relationships/hyperlink" Target="http://vocab.getty.edu/page/cona/700026038" TargetMode="External"/><Relationship Id="rId52" Type="http://schemas.openxmlformats.org/officeDocument/2006/relationships/hyperlink" Target="http://vocab.getty.edu/page/ia/9010025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1898</Words>
  <Characters>10822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Ward</dc:creator>
  <cp:keywords/>
  <dc:description/>
  <cp:lastModifiedBy>Jonathan Ward</cp:lastModifiedBy>
  <cp:revision>4</cp:revision>
  <dcterms:created xsi:type="dcterms:W3CDTF">2024-07-09T19:02:00Z</dcterms:created>
  <dcterms:modified xsi:type="dcterms:W3CDTF">2024-07-09T22:31:00Z</dcterms:modified>
</cp:coreProperties>
</file>