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B8D5457" w:rsidP="573D0826" w:rsidRDefault="0B8D5457" w14:paraId="3E6372E3" w14:textId="13FEABE4">
      <w:pPr>
        <w:spacing w:after="60" w:afterAutospacing="off" w:line="24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3D0826" w:rsidR="0B8D54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Core Metadata and Collections Section Subject Analysis Committee</w:t>
      </w:r>
    </w:p>
    <w:p w:rsidR="0B8D5457" w:rsidP="210D0864" w:rsidRDefault="0B8D5457" w14:paraId="7181F934" w14:textId="0598BBC8">
      <w:pPr>
        <w:spacing w:after="60" w:afterAutospacing="off" w:line="24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0D0864" w:rsidR="0B8D54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Annual</w:t>
      </w:r>
      <w:r w:rsidRPr="210D0864" w:rsidR="0B8D54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10D0864" w:rsidR="321A2C7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Meeting, June </w:t>
      </w:r>
      <w:r w:rsidRPr="210D0864" w:rsidR="0B8D54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2023</w:t>
      </w:r>
    </w:p>
    <w:p w:rsidR="573D0826" w:rsidP="573D0826" w:rsidRDefault="573D0826" w14:paraId="4168426A" w14:textId="46A65911">
      <w:pPr>
        <w:spacing w:after="60" w:afterAutospacing="off" w:line="240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B8D5457" w:rsidP="210D0864" w:rsidRDefault="0B8D5457" w14:paraId="01CE4A68" w14:textId="27C616DD">
      <w:pPr>
        <w:spacing w:after="60" w:afterAutospacing="off" w:line="240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10D0864" w:rsidR="06FBC3E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Report of the </w:t>
      </w:r>
      <w:r w:rsidRPr="210D0864" w:rsidR="0B8D54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OCLC</w:t>
      </w:r>
      <w:r w:rsidRPr="210D0864" w:rsidR="01195FA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210D0864" w:rsidR="6FA0244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Liaison</w:t>
      </w:r>
    </w:p>
    <w:p w:rsidR="0B8D5457" w:rsidP="573D0826" w:rsidRDefault="0B8D5457" w14:paraId="13120D71" w14:textId="6CAB2C8D">
      <w:pPr>
        <w:spacing w:after="160" w:line="240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3D0826" w:rsidR="56D90D3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Submitt</w:t>
      </w:r>
      <w:r w:rsidRPr="573D0826" w:rsidR="0B8D54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ed by Michael Phillips</w:t>
      </w:r>
    </w:p>
    <w:p w:rsidR="1194B0D2" w:rsidP="1194B0D2" w:rsidRDefault="1194B0D2" w14:paraId="04888669" w14:textId="49D21B12">
      <w:pPr>
        <w:pStyle w:val="Normal"/>
        <w:rPr>
          <w:b w:val="1"/>
          <w:bCs w:val="1"/>
        </w:rPr>
      </w:pPr>
    </w:p>
    <w:p w:rsidR="6FB0C32A" w:rsidP="573D0826" w:rsidRDefault="6FB0C32A" w14:paraId="2B466EE7" w14:textId="1F88DBB1">
      <w:pPr>
        <w:pStyle w:val="Heading1"/>
        <w:rPr>
          <w:b w:val="1"/>
          <w:bCs w:val="1"/>
        </w:rPr>
      </w:pPr>
      <w:r w:rsidR="6FB0C32A">
        <w:rPr/>
        <w:t>Staffing</w:t>
      </w:r>
    </w:p>
    <w:p xmlns:wp14="http://schemas.microsoft.com/office/word/2010/wordml" w:rsidP="573D0826" w14:paraId="2C078E63" wp14:textId="36E7B399">
      <w:pPr>
        <w:pStyle w:val="Normal"/>
        <w:ind w:left="0"/>
      </w:pPr>
      <w:r w:rsidR="7F7E8FA1">
        <w:rPr/>
        <w:t xml:space="preserve">OCLC has hired Jason Bourg as a Lead Data </w:t>
      </w:r>
      <w:r w:rsidR="7F7E8FA1">
        <w:rPr/>
        <w:t>Ontologist</w:t>
      </w:r>
      <w:r w:rsidR="516A056A">
        <w:rPr/>
        <w:t xml:space="preserve">. </w:t>
      </w:r>
      <w:r w:rsidR="7F7E8FA1">
        <w:rPr/>
        <w:t xml:space="preserve">Jason will </w:t>
      </w:r>
      <w:r w:rsidR="7F7E8FA1">
        <w:rPr/>
        <w:t>provide</w:t>
      </w:r>
      <w:r w:rsidR="7F7E8FA1">
        <w:rPr/>
        <w:t xml:space="preserve"> leadership for OCLC </w:t>
      </w:r>
      <w:bookmarkStart w:name="_Int_XRBOqAuO" w:id="614295986"/>
      <w:r w:rsidR="7F7E8FA1">
        <w:rPr/>
        <w:t>KOS</w:t>
      </w:r>
      <w:bookmarkEnd w:id="614295986"/>
      <w:r w:rsidR="7F7E8FA1">
        <w:rPr/>
        <w:t>, including</w:t>
      </w:r>
      <w:r w:rsidR="239D9360">
        <w:rPr/>
        <w:t xml:space="preserve"> </w:t>
      </w:r>
      <w:r w:rsidR="239D9360">
        <w:rPr/>
        <w:t xml:space="preserve">Conspectus, </w:t>
      </w:r>
      <w:bookmarkStart w:name="_Int_aTni2uMG" w:id="641975139"/>
      <w:r w:rsidR="239D9360">
        <w:rPr/>
        <w:t>VIAF</w:t>
      </w:r>
      <w:bookmarkEnd w:id="641975139"/>
      <w:r w:rsidR="239D9360">
        <w:rPr/>
        <w:t xml:space="preserve">, </w:t>
      </w:r>
      <w:bookmarkStart w:name="_Int_OmcPFJOO" w:id="1836456925"/>
      <w:r w:rsidR="239D9360">
        <w:rPr/>
        <w:t>FAST</w:t>
      </w:r>
      <w:bookmarkEnd w:id="1836456925"/>
      <w:r w:rsidR="239D9360">
        <w:rPr/>
        <w:t xml:space="preserve">, and the </w:t>
      </w:r>
      <w:r w:rsidR="239D9360">
        <w:rPr/>
        <w:t>WorldCat</w:t>
      </w:r>
      <w:r w:rsidR="239D9360">
        <w:rPr/>
        <w:t xml:space="preserve"> Ontology</w:t>
      </w:r>
      <w:r w:rsidR="781CFCD3">
        <w:rPr/>
        <w:t xml:space="preserve">. </w:t>
      </w:r>
      <w:r w:rsidR="48C88225">
        <w:rPr/>
        <w:t>Jason has many years of experience with taxonomy and ontology development, and we are excited to have him join OCLC.</w:t>
      </w:r>
    </w:p>
    <w:p w:rsidR="2E3CA722" w:rsidP="573D0826" w:rsidRDefault="2E3CA722" w14:paraId="5565C1B3" w14:textId="1FC158E4">
      <w:pPr>
        <w:pStyle w:val="Heading1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573D0826" w:rsidR="0622728B">
        <w:rPr>
          <w:noProof w:val="0"/>
          <w:lang w:val="en-US"/>
        </w:rPr>
        <w:t>WorldCat</w:t>
      </w:r>
      <w:r w:rsidRPr="573D0826" w:rsidR="2F611714">
        <w:rPr>
          <w:noProof w:val="0"/>
          <w:lang w:val="en-US"/>
        </w:rPr>
        <w:t xml:space="preserve"> </w:t>
      </w:r>
      <w:r w:rsidRPr="573D0826" w:rsidR="61A1AEFF">
        <w:rPr>
          <w:noProof w:val="0"/>
          <w:lang w:val="en-US"/>
        </w:rPr>
        <w:t>R</w:t>
      </w:r>
      <w:r w:rsidRPr="573D0826" w:rsidR="0622728B">
        <w:rPr>
          <w:noProof w:val="0"/>
          <w:lang w:val="en-US"/>
        </w:rPr>
        <w:t>ecord</w:t>
      </w:r>
      <w:r w:rsidRPr="573D0826" w:rsidR="3ED8FAFF">
        <w:rPr>
          <w:noProof w:val="0"/>
          <w:lang w:val="en-US"/>
        </w:rPr>
        <w:t xml:space="preserve"> </w:t>
      </w:r>
      <w:r w:rsidRPr="573D0826" w:rsidR="7A2B0DBA">
        <w:rPr>
          <w:noProof w:val="0"/>
          <w:lang w:val="en-US"/>
        </w:rPr>
        <w:t>U</w:t>
      </w:r>
      <w:r w:rsidRPr="573D0826" w:rsidR="3ED8FAFF">
        <w:rPr>
          <w:noProof w:val="0"/>
          <w:lang w:val="en-US"/>
        </w:rPr>
        <w:t>pdates</w:t>
      </w:r>
    </w:p>
    <w:p w:rsidR="2E3CA722" w:rsidP="2FD87783" w:rsidRDefault="2E3CA722" w14:paraId="47F543FA" w14:textId="5C030A2F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73D0826" w:rsidR="6DAEE20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This Spring, OCLC began </w:t>
      </w:r>
      <w:r w:rsidRPr="573D0826" w:rsidR="6DAEE20F">
        <w:rPr>
          <w:rFonts w:ascii="Calibri" w:hAnsi="Calibri" w:eastAsia="Calibri" w:cs="Calibri"/>
          <w:noProof w:val="0"/>
          <w:sz w:val="22"/>
          <w:szCs w:val="22"/>
          <w:lang w:val="en-US"/>
        </w:rPr>
        <w:t>identifying</w:t>
      </w:r>
      <w:r w:rsidRPr="573D0826" w:rsidR="6DAEE20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and updating </w:t>
      </w:r>
      <w:r w:rsidRPr="573D0826" w:rsidR="6DAEE20F">
        <w:rPr>
          <w:rFonts w:ascii="Calibri" w:hAnsi="Calibri" w:eastAsia="Calibri" w:cs="Calibri"/>
          <w:noProof w:val="0"/>
          <w:sz w:val="22"/>
          <w:szCs w:val="22"/>
          <w:lang w:val="en-US"/>
        </w:rPr>
        <w:t>WorldCat</w:t>
      </w:r>
      <w:r w:rsidRPr="573D0826" w:rsidR="6DAEE20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records </w:t>
      </w:r>
      <w:r w:rsidRPr="573D0826" w:rsidR="6DAEE20F">
        <w:rPr>
          <w:rFonts w:ascii="Calibri" w:hAnsi="Calibri" w:eastAsia="Calibri" w:cs="Calibri"/>
          <w:noProof w:val="0"/>
          <w:sz w:val="22"/>
          <w:szCs w:val="22"/>
          <w:lang w:val="en-US"/>
        </w:rPr>
        <w:t>containing</w:t>
      </w:r>
      <w:r w:rsidRPr="573D0826" w:rsidR="6DAEE20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the former </w:t>
      </w:r>
      <w:bookmarkStart w:name="_Int_73aCkGys" w:id="1905950612"/>
      <w:r w:rsidRPr="573D0826" w:rsidR="14823861">
        <w:rPr>
          <w:rFonts w:ascii="Calibri" w:hAnsi="Calibri" w:eastAsia="Calibri" w:cs="Calibri"/>
          <w:noProof w:val="0"/>
          <w:sz w:val="22"/>
          <w:szCs w:val="22"/>
          <w:lang w:val="en-US"/>
        </w:rPr>
        <w:t>LCSH</w:t>
      </w:r>
      <w:bookmarkEnd w:id="1905950612"/>
      <w:r w:rsidRPr="573D0826" w:rsidR="1482386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heading “Slaves” to “Enslaved persons.”  So far, </w:t>
      </w:r>
      <w:bookmarkStart w:name="_Int_i7on1IHz" w:id="917889191"/>
      <w:r w:rsidRPr="573D0826" w:rsidR="14823861">
        <w:rPr>
          <w:rFonts w:ascii="Calibri" w:hAnsi="Calibri" w:eastAsia="Calibri" w:cs="Calibri"/>
          <w:noProof w:val="0"/>
          <w:sz w:val="22"/>
          <w:szCs w:val="22"/>
          <w:lang w:val="en-US"/>
        </w:rPr>
        <w:t>nearly 45,000</w:t>
      </w:r>
      <w:bookmarkEnd w:id="917889191"/>
      <w:r w:rsidRPr="573D0826" w:rsidR="1482386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records have been updated</w:t>
      </w:r>
      <w:r w:rsidRPr="573D0826" w:rsidR="442E02B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r w:rsidRPr="573D0826" w:rsidR="0140DFD9">
        <w:rPr>
          <w:rFonts w:ascii="Calibri" w:hAnsi="Calibri" w:eastAsia="Calibri" w:cs="Calibri"/>
          <w:noProof w:val="0"/>
          <w:sz w:val="22"/>
          <w:szCs w:val="22"/>
          <w:lang w:val="en-US"/>
        </w:rPr>
        <w:t>F</w:t>
      </w:r>
      <w:r w:rsidRPr="573D0826" w:rsidR="2FAB4BB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uture scans of </w:t>
      </w:r>
      <w:r w:rsidRPr="573D0826" w:rsidR="2FAB4BB3">
        <w:rPr>
          <w:rFonts w:ascii="Calibri" w:hAnsi="Calibri" w:eastAsia="Calibri" w:cs="Calibri"/>
          <w:noProof w:val="0"/>
          <w:sz w:val="22"/>
          <w:szCs w:val="22"/>
          <w:lang w:val="en-US"/>
        </w:rPr>
        <w:t>Worldcat</w:t>
      </w:r>
      <w:r w:rsidRPr="573D0826" w:rsidR="2FAB4BB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are planned to keep up with new records and data transfers</w:t>
      </w:r>
      <w:r w:rsidRPr="573D0826" w:rsidR="483EA40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r w:rsidRPr="573D0826" w:rsidR="2FAB4BB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This work </w:t>
      </w:r>
      <w:r w:rsidRPr="573D0826" w:rsidR="2DE8BCC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will be ongoing and is intended to support </w:t>
      </w:r>
      <w:bookmarkStart w:name="_Int_kpbENZMj" w:id="1184522539"/>
      <w:r w:rsidRPr="573D0826" w:rsidR="2DE8BCCB">
        <w:rPr>
          <w:rFonts w:ascii="Calibri" w:hAnsi="Calibri" w:eastAsia="Calibri" w:cs="Calibri"/>
          <w:noProof w:val="0"/>
          <w:sz w:val="22"/>
          <w:szCs w:val="22"/>
          <w:lang w:val="en-US"/>
        </w:rPr>
        <w:t>DEI</w:t>
      </w:r>
      <w:bookmarkEnd w:id="1184522539"/>
      <w:r w:rsidRPr="573D0826" w:rsidR="2DE8BCC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interests </w:t>
      </w:r>
      <w:r w:rsidRPr="573D0826" w:rsidR="4B2CCF2A">
        <w:rPr>
          <w:rFonts w:ascii="Calibri" w:hAnsi="Calibri" w:eastAsia="Calibri" w:cs="Calibri"/>
          <w:noProof w:val="0"/>
          <w:sz w:val="22"/>
          <w:szCs w:val="22"/>
          <w:lang w:val="en-US"/>
        </w:rPr>
        <w:t>and</w:t>
      </w:r>
      <w:r w:rsidRPr="573D0826" w:rsidR="2DE8BCC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  <w:r w:rsidRPr="573D0826" w:rsidR="2DE8BCC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the </w:t>
      </w:r>
      <w:r w:rsidRPr="573D0826" w:rsidR="2DE8BCCB">
        <w:rPr>
          <w:rFonts w:ascii="Calibri" w:hAnsi="Calibri" w:eastAsia="Calibri" w:cs="Calibri"/>
          <w:noProof w:val="0"/>
          <w:sz w:val="22"/>
          <w:szCs w:val="22"/>
          <w:lang w:val="en-US"/>
        </w:rPr>
        <w:t>appropriate reapplication</w:t>
      </w:r>
      <w:r w:rsidRPr="573D0826" w:rsidR="2DE8BCCB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of </w:t>
      </w:r>
      <w:r w:rsidRPr="573D0826" w:rsidR="476252E2">
        <w:rPr>
          <w:rFonts w:ascii="Calibri" w:hAnsi="Calibri" w:eastAsia="Calibri" w:cs="Calibri"/>
          <w:noProof w:val="0"/>
          <w:sz w:val="22"/>
          <w:szCs w:val="22"/>
          <w:lang w:val="en-US"/>
        </w:rPr>
        <w:t>updated headings.</w:t>
      </w:r>
      <w:r w:rsidRPr="573D0826" w:rsidR="1177927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</w:t>
      </w:r>
    </w:p>
    <w:p w:rsidR="5B59FB71" w:rsidP="573D0826" w:rsidRDefault="5B59FB71" w14:paraId="7C2DE906" w14:textId="54211C48">
      <w:pPr>
        <w:pStyle w:val="Normal"/>
        <w:ind w:left="0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OCLC is working on a joint project with, and by the request of, University of British Columbia (UBC) Library as agreed to by Library &amp; Archives Canada to replace outdated Canadian subject headings in </w:t>
      </w:r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WorldCat</w:t>
      </w:r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bibliographic records with newer </w:t>
      </w:r>
      <w:bookmarkStart w:name="_Int_0YIY7cSn" w:id="2143224599"/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LC</w:t>
      </w:r>
      <w:bookmarkEnd w:id="2143224599"/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headings. </w:t>
      </w:r>
      <w:bookmarkStart w:name="_Int_pMfho8kI" w:id="1811136612"/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The work is currently focused on headings that can be identified and replaced programmatically,</w:t>
      </w:r>
      <w:r w:rsidRPr="573D0826" w:rsidR="397F35FC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</w:t>
      </w:r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more complex cases to be addressed at a later phase of the project.</w:t>
      </w:r>
      <w:bookmarkEnd w:id="1811136612"/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 </w:t>
      </w:r>
      <w:r w:rsidRPr="573D0826" w:rsidR="16959937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This </w:t>
      </w:r>
      <w:r w:rsidRPr="573D0826" w:rsidR="44F7C043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project</w:t>
      </w:r>
      <w:r w:rsidRPr="573D0826" w:rsidR="16959937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573D0826" w:rsidR="5789D864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places</w:t>
      </w:r>
      <w:r w:rsidRPr="573D0826" w:rsidR="5789D864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special emphasis on DEI terms, as illustrated by the example below.</w:t>
      </w:r>
    </w:p>
    <w:p w:rsidR="5B59FB71" w:rsidP="573D0826" w:rsidRDefault="5B59FB71" w14:paraId="680BFE5B" w14:textId="261D6364">
      <w:pPr>
        <w:ind w:left="0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573D0826" w:rsidR="5B59FB7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Example:</w:t>
      </w:r>
    </w:p>
    <w:tbl>
      <w:tblPr>
        <w:tblStyle w:val="TableGrid"/>
        <w:tblW w:w="9180" w:type="dxa"/>
        <w:tblLayout w:type="fixed"/>
        <w:tblLook w:val="06A0" w:firstRow="1" w:lastRow="0" w:firstColumn="1" w:lastColumn="0" w:noHBand="1" w:noVBand="1"/>
      </w:tblPr>
      <w:tblGrid>
        <w:gridCol w:w="4575"/>
        <w:gridCol w:w="4605"/>
      </w:tblGrid>
      <w:tr w:rsidR="1194B0D2" w:rsidTr="573D0826" w14:paraId="3BCED372">
        <w:trPr>
          <w:trHeight w:val="300"/>
        </w:trPr>
        <w:tc>
          <w:tcPr>
            <w:tcW w:w="4575" w:type="dxa"/>
            <w:shd w:val="clear" w:color="auto" w:fill="F2F2F2" w:themeFill="background1" w:themeFillShade="F2"/>
            <w:tcMar/>
          </w:tcPr>
          <w:p w:rsidR="62485B7E" w:rsidP="573D0826" w:rsidRDefault="62485B7E" w14:paraId="280D222B" w14:textId="209FC19A">
            <w:pPr>
              <w:pStyle w:val="Normal"/>
              <w:ind w:left="630"/>
              <w:jc w:val="left"/>
              <w:rPr>
                <w:rFonts w:ascii="Calibri" w:hAnsi="Calibri" w:eastAsia="Calibri" w:cs="Calibri"/>
                <w:b w:val="1"/>
                <w:bCs w:val="1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73D0826" w:rsidR="4225451F">
              <w:rPr>
                <w:rFonts w:ascii="Calibri" w:hAnsi="Calibri" w:eastAsia="Calibri" w:cs="Calibri"/>
                <w:b w:val="1"/>
                <w:bCs w:val="1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Outdated Canadian Subject Heading</w:t>
            </w:r>
          </w:p>
        </w:tc>
        <w:tc>
          <w:tcPr>
            <w:tcW w:w="4605" w:type="dxa"/>
            <w:shd w:val="clear" w:color="auto" w:fill="F2F2F2" w:themeFill="background1" w:themeFillShade="F2"/>
            <w:tcMar/>
            <w:vAlign w:val="top"/>
          </w:tcPr>
          <w:p w:rsidR="62485B7E" w:rsidP="573D0826" w:rsidRDefault="62485B7E" w14:paraId="1E067D5B" w14:textId="09FD0876">
            <w:pPr>
              <w:pStyle w:val="Normal"/>
              <w:ind w:left="-90"/>
              <w:jc w:val="center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en-US"/>
              </w:rPr>
            </w:pPr>
            <w:r w:rsidRPr="573D0826" w:rsidR="4225451F">
              <w:rPr>
                <w:rFonts w:ascii="Calibri" w:hAnsi="Calibri" w:eastAsia="Calibri" w:cs="Calibri"/>
                <w:b w:val="1"/>
                <w:bCs w:val="1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Replacement LCSH</w:t>
            </w:r>
          </w:p>
        </w:tc>
      </w:tr>
      <w:tr w:rsidR="1194B0D2" w:rsidTr="573D0826" w14:paraId="068700F4">
        <w:trPr>
          <w:trHeight w:val="300"/>
        </w:trPr>
        <w:tc>
          <w:tcPr>
            <w:tcW w:w="4575" w:type="dxa"/>
            <w:tcMar/>
          </w:tcPr>
          <w:p w:rsidR="62485B7E" w:rsidP="573D0826" w:rsidRDefault="62485B7E" w14:paraId="2FD18F48" w14:textId="35AE602C">
            <w:pPr>
              <w:pStyle w:val="Normal"/>
              <w:ind w:left="-360"/>
              <w:jc w:val="center"/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73D0826" w:rsidR="4225451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Native peoples in art</w:t>
            </w:r>
          </w:p>
        </w:tc>
        <w:tc>
          <w:tcPr>
            <w:tcW w:w="4605" w:type="dxa"/>
            <w:tcMar/>
          </w:tcPr>
          <w:p w:rsidR="62485B7E" w:rsidP="573D0826" w:rsidRDefault="62485B7E" w14:paraId="376CF905" w14:textId="13D094E7">
            <w:pPr>
              <w:pStyle w:val="Normal"/>
              <w:ind w:left="-360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</w:pPr>
            <w:r w:rsidRPr="573D0826" w:rsidR="4225451F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Indigenous peoples in art</w:t>
            </w:r>
          </w:p>
        </w:tc>
      </w:tr>
    </w:tbl>
    <w:p w:rsidR="1194B0D2" w:rsidP="1194B0D2" w:rsidRDefault="1194B0D2" w14:paraId="063D6C49" w14:textId="16EA129A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62E608F4" w:rsidP="1194B0D2" w:rsidRDefault="62E608F4" w14:paraId="2F1884D7" w14:textId="622A894F">
      <w:pPr>
        <w:pStyle w:val="Normal"/>
        <w:ind w:left="0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73D0826" w:rsidR="62E608F4">
        <w:rPr>
          <w:rFonts w:ascii="Calibri" w:hAnsi="Calibri" w:eastAsia="Calibri" w:cs="Calibri"/>
          <w:noProof w:val="0"/>
          <w:sz w:val="22"/>
          <w:szCs w:val="22"/>
          <w:lang w:val="en-US"/>
        </w:rPr>
        <w:t>As mentioned in the midwinter report, OCLC is continuing to remove “</w:t>
      </w:r>
      <w:r w:rsidRPr="573D0826" w:rsidR="05268BFF">
        <w:rPr>
          <w:rFonts w:ascii="Calibri" w:hAnsi="Calibri" w:eastAsia="Calibri" w:cs="Calibri"/>
          <w:noProof w:val="0"/>
          <w:sz w:val="22"/>
          <w:szCs w:val="22"/>
          <w:lang w:val="en-US"/>
        </w:rPr>
        <w:t>Electronic books” and like terms</w:t>
      </w:r>
      <w:r w:rsidRPr="573D0826" w:rsidR="05268BF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from the 655</w:t>
      </w:r>
      <w:r w:rsidRPr="573D0826" w:rsidR="25DC7804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field</w:t>
      </w:r>
      <w:r w:rsidRPr="573D0826" w:rsidR="3B3A7C99">
        <w:rPr>
          <w:rFonts w:ascii="Calibri" w:hAnsi="Calibri" w:eastAsia="Calibri" w:cs="Calibri"/>
          <w:noProof w:val="0"/>
          <w:sz w:val="22"/>
          <w:szCs w:val="22"/>
          <w:lang w:val="en-US"/>
        </w:rPr>
        <w:t>, as it is not considered a valid genre/</w:t>
      </w:r>
      <w:r w:rsidRPr="573D0826" w:rsidR="3B3A7C99">
        <w:rPr>
          <w:rFonts w:ascii="Calibri" w:hAnsi="Calibri" w:eastAsia="Calibri" w:cs="Calibri"/>
          <w:noProof w:val="0"/>
          <w:sz w:val="22"/>
          <w:szCs w:val="22"/>
          <w:lang w:val="en-US"/>
        </w:rPr>
        <w:t>form t</w:t>
      </w:r>
      <w:r w:rsidRPr="573D0826" w:rsidR="3B3A7C99">
        <w:rPr>
          <w:rFonts w:ascii="Calibri" w:hAnsi="Calibri" w:eastAsia="Calibri" w:cs="Calibri"/>
          <w:noProof w:val="0"/>
          <w:sz w:val="22"/>
          <w:szCs w:val="22"/>
          <w:lang w:val="en-US"/>
        </w:rPr>
        <w:t>erm</w:t>
      </w:r>
      <w:r w:rsidRPr="573D0826" w:rsidR="77499787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</w:t>
      </w:r>
      <w:bookmarkStart w:name="_Int_UEn8hGyo" w:id="357205827"/>
      <w:r w:rsidRPr="573D0826" w:rsidR="505C1C69">
        <w:rPr>
          <w:rFonts w:ascii="Calibri" w:hAnsi="Calibri" w:eastAsia="Calibri" w:cs="Calibri"/>
          <w:noProof w:val="0"/>
          <w:sz w:val="22"/>
          <w:szCs w:val="22"/>
          <w:lang w:val="en-US"/>
        </w:rPr>
        <w:t>Nearly 7</w:t>
      </w:r>
      <w:bookmarkEnd w:id="357205827"/>
      <w:r w:rsidRPr="573D0826" w:rsidR="505C1C69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million records have been corrected to date</w:t>
      </w:r>
      <w:r w:rsidRPr="573D0826" w:rsidR="7435D87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, and this work will be ongoing </w:t>
      </w:r>
      <w:r w:rsidRPr="573D0826" w:rsidR="0F3EE38C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as new records are added to </w:t>
      </w:r>
      <w:r w:rsidRPr="573D0826" w:rsidR="0F3EE38C">
        <w:rPr>
          <w:rFonts w:ascii="Calibri" w:hAnsi="Calibri" w:eastAsia="Calibri" w:cs="Calibri"/>
          <w:noProof w:val="0"/>
          <w:sz w:val="22"/>
          <w:szCs w:val="22"/>
          <w:lang w:val="en-US"/>
        </w:rPr>
        <w:t>WorldCat</w:t>
      </w:r>
      <w:r w:rsidRPr="573D0826" w:rsidR="0F3EE38C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7DD152F8" w:rsidP="573D0826" w:rsidRDefault="7DD152F8" w14:paraId="470B0A0F" w14:textId="59E585AE">
      <w:pPr>
        <w:pStyle w:val="Heading1"/>
        <w:rPr>
          <w:b w:val="1"/>
          <w:bCs w:val="1"/>
        </w:rPr>
      </w:pPr>
      <w:r w:rsidR="7DD152F8">
        <w:rPr/>
        <w:t>Controlling Updates</w:t>
      </w:r>
    </w:p>
    <w:p w:rsidR="0D47146D" w:rsidP="1194B0D2" w:rsidRDefault="0D47146D" w14:paraId="71303EAF" w14:textId="7F42534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</w:rPr>
      </w:pPr>
      <w:r w:rsidR="0D47146D">
        <w:rPr>
          <w:b w:val="0"/>
          <w:bCs w:val="0"/>
        </w:rPr>
        <w:t>OCLC announced a change to the controlling process in Record Manager on June 2</w:t>
      </w:r>
      <w:r w:rsidR="1000E217">
        <w:rPr>
          <w:b w:val="0"/>
          <w:bCs w:val="0"/>
        </w:rPr>
        <w:t xml:space="preserve">. </w:t>
      </w:r>
      <w:r w:rsidR="6B100B73">
        <w:rPr>
          <w:b w:val="0"/>
          <w:bCs w:val="0"/>
        </w:rPr>
        <w:t>The changes will be applied on June 13</w:t>
      </w:r>
      <w:r w:rsidR="53347099">
        <w:rPr>
          <w:b w:val="0"/>
          <w:bCs w:val="0"/>
        </w:rPr>
        <w:t xml:space="preserve">. </w:t>
      </w:r>
      <w:r w:rsidR="4F835605">
        <w:rPr>
          <w:b w:val="0"/>
          <w:bCs w:val="0"/>
        </w:rPr>
        <w:t xml:space="preserve">The announcement is paraphrased below. </w:t>
      </w:r>
      <w:r w:rsidR="44E59C22">
        <w:rPr>
          <w:b w:val="0"/>
          <w:bCs w:val="0"/>
        </w:rPr>
        <w:t>See link for</w:t>
      </w:r>
      <w:r w:rsidR="416FEDBF">
        <w:rPr>
          <w:b w:val="0"/>
          <w:bCs w:val="0"/>
        </w:rPr>
        <w:t xml:space="preserve"> the full announcement in the OCLC community center.</w:t>
      </w:r>
      <w:r w:rsidR="44E59C22">
        <w:rPr>
          <w:b w:val="0"/>
          <w:bCs w:val="0"/>
        </w:rPr>
        <w:t xml:space="preserve"> </w:t>
      </w:r>
    </w:p>
    <w:p w:rsidR="7F362096" w:rsidP="1194B0D2" w:rsidRDefault="7F362096" w14:paraId="0C65F4C2" w14:textId="7C7C8DB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</w:rPr>
      </w:pPr>
      <w:hyperlink r:id="Re0bcebe9fd604c11">
        <w:r w:rsidRPr="1194B0D2" w:rsidR="7F362096">
          <w:rPr>
            <w:rStyle w:val="Hyperlink"/>
            <w:b w:val="0"/>
            <w:bCs w:val="0"/>
          </w:rPr>
          <w:t>Community Center Announcement</w:t>
        </w:r>
      </w:hyperlink>
    </w:p>
    <w:p w:rsidR="5E8731A6" w:rsidP="1194B0D2" w:rsidRDefault="5E8731A6" w14:paraId="0AAB6F9C" w14:textId="091FF85E">
      <w:pPr>
        <w:pStyle w:val="Normal"/>
        <w:ind w:left="0"/>
      </w:pPr>
      <w:r w:rsidR="4D8D54B6">
        <w:rPr/>
        <w:t>C</w:t>
      </w:r>
      <w:r w:rsidR="25C2832A">
        <w:rPr/>
        <w:t xml:space="preserve">hanges have been made to controlling to fully respect the subfield values when controlling headings. </w:t>
      </w:r>
      <w:r w:rsidR="66CF2B16">
        <w:rPr/>
        <w:t xml:space="preserve">Currently </w:t>
      </w:r>
      <w:r w:rsidR="25C2832A">
        <w:rPr/>
        <w:t xml:space="preserve">these changes will only affect </w:t>
      </w:r>
      <w:bookmarkStart w:name="_Int_O5L64LNe" w:id="760492818"/>
      <w:r w:rsidR="25C2832A">
        <w:rPr/>
        <w:t>Record</w:t>
      </w:r>
      <w:bookmarkEnd w:id="760492818"/>
      <w:r w:rsidR="25C2832A">
        <w:rPr/>
        <w:t xml:space="preserve"> Manager.</w:t>
      </w:r>
      <w:r w:rsidR="25C2832A">
        <w:rPr/>
        <w:t xml:space="preserve"> </w:t>
      </w:r>
      <w:r w:rsidR="3AEC4FDC">
        <w:rPr/>
        <w:t xml:space="preserve"> They will be applied to </w:t>
      </w:r>
      <w:r w:rsidR="3AEC4FDC">
        <w:rPr/>
        <w:t>Connexion</w:t>
      </w:r>
      <w:r w:rsidR="3AEC4FDC">
        <w:rPr/>
        <w:t xml:space="preserve"> at a later date.</w:t>
      </w:r>
    </w:p>
    <w:p w:rsidR="5E8731A6" w:rsidP="1194B0D2" w:rsidRDefault="5E8731A6" w14:paraId="5A92EB1D" w14:textId="17B121CE">
      <w:pPr>
        <w:pStyle w:val="ListParagraph"/>
        <w:numPr>
          <w:ilvl w:val="0"/>
          <w:numId w:val="3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</w:pPr>
      <w:r w:rsidRPr="1194B0D2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The </w:t>
      </w:r>
      <w:r w:rsidRPr="1194B0D2" w:rsidR="0894C22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c</w:t>
      </w:r>
      <w:r w:rsidRPr="1194B0D2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hanges will prevent unexpected and incorrect subfield flip</w:t>
      </w:r>
      <w:r w:rsidRPr="1194B0D2" w:rsidR="61B028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s</w:t>
      </w:r>
      <w:r w:rsidRPr="1194B0D2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 </w:t>
      </w:r>
      <w:r w:rsidRPr="1194B0D2" w:rsidR="2F189F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bu</w:t>
      </w:r>
      <w:r w:rsidRPr="1194B0D2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t will require a change in user behavior to </w:t>
      </w:r>
      <w:r w:rsidRPr="1194B0D2" w:rsidR="194C87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be successful.</w:t>
      </w:r>
    </w:p>
    <w:p w:rsidR="5E8731A6" w:rsidP="573D0826" w:rsidRDefault="5E8731A6" w14:paraId="5D49A631" w14:textId="5F92F6C8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</w:pPr>
      <w:r w:rsidRPr="573D0826" w:rsidR="5520E38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U</w:t>
      </w:r>
      <w:r w:rsidRPr="573D0826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ser</w:t>
      </w:r>
      <w:r w:rsidRPr="573D0826" w:rsidR="62E1C0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s</w:t>
      </w:r>
      <w:r w:rsidRPr="573D0826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 will need to include all subfield codes as part of the heading</w:t>
      </w:r>
      <w:r w:rsidRPr="573D0826" w:rsidR="134A4A3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. </w:t>
      </w:r>
      <w:r w:rsidRPr="573D0826" w:rsidR="7FE091F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Do</w:t>
      </w:r>
      <w:r w:rsidRPr="573D0826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 </w:t>
      </w:r>
      <w:r w:rsidRPr="573D0826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not</w:t>
      </w:r>
      <w:r w:rsidRPr="573D0826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 rely on the subfield codes to be automatically supplied as part of controlling. </w:t>
      </w:r>
    </w:p>
    <w:p w:rsidR="5E8731A6" w:rsidP="1194B0D2" w:rsidRDefault="5E8731A6" w14:paraId="734D17C4" w14:textId="7F98D1A0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</w:pPr>
      <w:r w:rsidRPr="1194B0D2" w:rsidR="13C50DB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U</w:t>
      </w:r>
      <w:r w:rsidRPr="1194B0D2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sers can copy/paste the heading from the authority record</w:t>
      </w:r>
      <w:r w:rsidRPr="1194B0D2" w:rsidR="53FD2C8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 or use</w:t>
      </w:r>
      <w:r w:rsidRPr="1194B0D2" w:rsidR="3BE529A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 the apply link functionality to</w:t>
      </w:r>
      <w:r w:rsidRPr="1194B0D2" w:rsidR="23E58A2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 xml:space="preserve"> </w:t>
      </w:r>
      <w:r w:rsidRPr="1194B0D2" w:rsidR="67AADE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prevent errors.</w:t>
      </w:r>
    </w:p>
    <w:p w:rsidR="4939A257" w:rsidP="1194B0D2" w:rsidRDefault="4939A257" w14:paraId="3758C479" w14:textId="2EC9419D">
      <w:pPr>
        <w:pStyle w:val="Normal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</w:pPr>
      <w:r w:rsidRPr="1194B0D2" w:rsidR="4939A2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172B4D"/>
          <w:sz w:val="22"/>
          <w:szCs w:val="22"/>
          <w:lang w:val="en-US"/>
        </w:rPr>
        <w:t>Examples: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1FCC0FC8" w:rsidTr="573D0826" w14:paraId="7F03719C">
        <w:trPr>
          <w:trHeight w:val="300"/>
        </w:trPr>
        <w:tc>
          <w:tcPr>
            <w:tcW w:w="3120" w:type="dxa"/>
            <w:tcBorders/>
            <w:shd w:val="clear" w:color="auto" w:fill="F2F2F2" w:themeFill="background1" w:themeFillShade="F2"/>
            <w:tcMar>
              <w:top w:w="105" w:type="dxa"/>
              <w:left w:w="150" w:type="dxa"/>
              <w:bottom w:w="105" w:type="dxa"/>
              <w:right w:w="225" w:type="dxa"/>
            </w:tcMar>
            <w:vAlign w:val="top"/>
          </w:tcPr>
          <w:p w:rsidR="1FCC0FC8" w:rsidP="1FCC0FC8" w:rsidRDefault="1FCC0FC8" w14:paraId="72BD1B53" w14:textId="53D3797F">
            <w:pPr>
              <w:jc w:val="left"/>
            </w:pPr>
            <w:r w:rsidRPr="1FCC0FC8" w:rsidR="1FCC0FC8">
              <w:rPr>
                <w:b w:val="1"/>
                <w:bCs w:val="1"/>
                <w:color w:val="172B4D"/>
              </w:rPr>
              <w:t>Starting heading</w:t>
            </w:r>
          </w:p>
        </w:tc>
        <w:tc>
          <w:tcPr>
            <w:tcW w:w="3120" w:type="dxa"/>
            <w:tcBorders/>
            <w:shd w:val="clear" w:color="auto" w:fill="F2F2F2" w:themeFill="background1" w:themeFillShade="F2"/>
            <w:tcMar>
              <w:top w:w="105" w:type="dxa"/>
              <w:left w:w="150" w:type="dxa"/>
              <w:bottom w:w="105" w:type="dxa"/>
              <w:right w:w="225" w:type="dxa"/>
            </w:tcMar>
            <w:vAlign w:val="top"/>
          </w:tcPr>
          <w:p w:rsidR="1FCC0FC8" w:rsidP="1FCC0FC8" w:rsidRDefault="1FCC0FC8" w14:paraId="618E5A62" w14:textId="02B94DEA">
            <w:pPr>
              <w:jc w:val="left"/>
            </w:pPr>
            <w:r w:rsidRPr="1FCC0FC8" w:rsidR="1FCC0FC8">
              <w:rPr>
                <w:b w:val="1"/>
                <w:bCs w:val="1"/>
                <w:color w:val="172B4D"/>
              </w:rPr>
              <w:t>Current functionality</w:t>
            </w:r>
          </w:p>
        </w:tc>
        <w:tc>
          <w:tcPr>
            <w:tcW w:w="3120" w:type="dxa"/>
            <w:tcBorders/>
            <w:shd w:val="clear" w:color="auto" w:fill="F2F2F2" w:themeFill="background1" w:themeFillShade="F2"/>
            <w:tcMar>
              <w:top w:w="105" w:type="dxa"/>
              <w:left w:w="150" w:type="dxa"/>
              <w:bottom w:w="105" w:type="dxa"/>
              <w:right w:w="225" w:type="dxa"/>
            </w:tcMar>
            <w:vAlign w:val="top"/>
          </w:tcPr>
          <w:p w:rsidR="1FCC0FC8" w:rsidP="1194B0D2" w:rsidRDefault="1FCC0FC8" w14:paraId="7400CA68" w14:textId="51312974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4B4B4B"/>
                <w:sz w:val="18"/>
                <w:szCs w:val="18"/>
              </w:rPr>
            </w:pPr>
            <w:r w:rsidRPr="1194B0D2" w:rsidR="05B25310">
              <w:rPr>
                <w:b w:val="1"/>
                <w:bCs w:val="1"/>
              </w:rPr>
              <w:t>Starting on June 13</w:t>
            </w:r>
          </w:p>
        </w:tc>
      </w:tr>
      <w:tr w:rsidR="1FCC0FC8" w:rsidTr="573D0826" w14:paraId="45AB216B">
        <w:trPr>
          <w:trHeight w:val="300"/>
        </w:trPr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26798D61" w14:textId="6954B493">
            <w:pPr>
              <w:jc w:val="left"/>
            </w:pPr>
            <w:r w:rsidR="1FCC0FC8">
              <w:rPr/>
              <w:t>650 _0 $a Music $v Manuscripts $v Facsimiles</w:t>
            </w:r>
          </w:p>
        </w:tc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5799295F" w14:textId="2F4BAECE">
            <w:pPr>
              <w:jc w:val="left"/>
            </w:pPr>
            <w:r w:rsidR="1FCC0FC8">
              <w:rPr/>
              <w:t xml:space="preserve">650 _0 </w:t>
            </w:r>
            <w:r w:rsidRPr="1FCC0FC8" w:rsidR="1FCC0FC8">
              <w:rPr>
                <w:u w:val="single"/>
              </w:rPr>
              <w:t xml:space="preserve">$a Music </w:t>
            </w:r>
            <w:r w:rsidRPr="1FCC0FC8" w:rsidR="1FCC0FC8">
              <w:rPr>
                <w:b w:val="1"/>
                <w:bCs w:val="1"/>
                <w:color w:val="FF0000"/>
                <w:u w:val="single"/>
              </w:rPr>
              <w:t>$x Manuscripts</w:t>
            </w:r>
            <w:r w:rsidRPr="1FCC0FC8" w:rsidR="1FCC0FC8">
              <w:rPr>
                <w:color w:val="FF0000"/>
                <w:u w:val="single"/>
              </w:rPr>
              <w:t xml:space="preserve"> </w:t>
            </w:r>
            <w:r w:rsidRPr="1FCC0FC8" w:rsidR="1FCC0FC8">
              <w:rPr>
                <w:u w:val="single"/>
              </w:rPr>
              <w:t>$v Facsimiles.</w:t>
            </w:r>
          </w:p>
        </w:tc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77D2F87A" w14:textId="27C98EA7">
            <w:pPr>
              <w:jc w:val="left"/>
            </w:pPr>
            <w:r w:rsidR="1FCC0FC8">
              <w:rPr/>
              <w:t xml:space="preserve">650 _0 </w:t>
            </w:r>
            <w:r w:rsidRPr="1FCC0FC8" w:rsidR="1FCC0FC8">
              <w:rPr>
                <w:color w:val="0000FF"/>
                <w:u w:val="single"/>
              </w:rPr>
              <w:t xml:space="preserve">$a Music </w:t>
            </w:r>
            <w:r w:rsidRPr="1FCC0FC8" w:rsidR="1FCC0FC8">
              <w:rPr>
                <w:b w:val="1"/>
                <w:bCs w:val="1"/>
                <w:color w:val="0000FF"/>
                <w:u w:val="single"/>
              </w:rPr>
              <w:t>$v Manuscripts</w:t>
            </w:r>
            <w:r w:rsidRPr="1FCC0FC8" w:rsidR="1FCC0FC8">
              <w:rPr>
                <w:color w:val="0000FF"/>
                <w:u w:val="single"/>
              </w:rPr>
              <w:t xml:space="preserve"> $v Facsimiles.</w:t>
            </w:r>
          </w:p>
        </w:tc>
      </w:tr>
      <w:tr w:rsidR="1FCC0FC8" w:rsidTr="573D0826" w14:paraId="47488DFC">
        <w:trPr>
          <w:trHeight w:val="300"/>
        </w:trPr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7B866CE8" w14:textId="285053A4">
            <w:pPr>
              <w:jc w:val="left"/>
            </w:pPr>
            <w:r w:rsidR="0E28F504">
              <w:rPr/>
              <w:t>650 _0 $</w:t>
            </w:r>
            <w:bookmarkStart w:name="_Int_hQI5R228" w:id="1407470473"/>
            <w:r w:rsidR="0E28F504">
              <w:rPr/>
              <w:t>a</w:t>
            </w:r>
            <w:bookmarkEnd w:id="1407470473"/>
            <w:r w:rsidR="0E28F504">
              <w:rPr/>
              <w:t xml:space="preserve"> Indians of North America $z California, Southern $x Music $x History and criticism</w:t>
            </w:r>
          </w:p>
        </w:tc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280EB278" w14:textId="64D77A6F">
            <w:pPr>
              <w:jc w:val="left"/>
            </w:pPr>
            <w:r w:rsidR="0E28F504">
              <w:rPr/>
              <w:t xml:space="preserve">650 _0 </w:t>
            </w:r>
            <w:r w:rsidRPr="573D0826" w:rsidR="0E28F504">
              <w:rPr>
                <w:u w:val="single"/>
              </w:rPr>
              <w:t>$</w:t>
            </w:r>
            <w:bookmarkStart w:name="_Int_lhgW71b1" w:id="1331055669"/>
            <w:r w:rsidRPr="573D0826" w:rsidR="0E28F504">
              <w:rPr>
                <w:u w:val="single"/>
              </w:rPr>
              <w:t>a</w:t>
            </w:r>
            <w:bookmarkEnd w:id="1331055669"/>
            <w:r w:rsidRPr="573D0826" w:rsidR="0E28F504">
              <w:rPr>
                <w:u w:val="single"/>
              </w:rPr>
              <w:t xml:space="preserve"> Indians of North America $z California, Southern </w:t>
            </w:r>
            <w:r w:rsidRPr="573D0826" w:rsidR="0E28F504">
              <w:rPr>
                <w:b w:val="1"/>
                <w:bCs w:val="1"/>
                <w:color w:val="FF0000"/>
                <w:u w:val="single"/>
              </w:rPr>
              <w:t xml:space="preserve">$v Music </w:t>
            </w:r>
            <w:r w:rsidRPr="573D0826" w:rsidR="0E28F504">
              <w:rPr>
                <w:u w:val="single"/>
              </w:rPr>
              <w:t>$x History and criticism.</w:t>
            </w:r>
          </w:p>
        </w:tc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6591DE61" w14:textId="439917A0">
            <w:pPr>
              <w:jc w:val="left"/>
            </w:pPr>
            <w:r w:rsidR="0E28F504">
              <w:rPr/>
              <w:t xml:space="preserve">650 _0 </w:t>
            </w:r>
            <w:r w:rsidRPr="573D0826" w:rsidR="0E28F504">
              <w:rPr>
                <w:color w:val="0000FF"/>
                <w:u w:val="single"/>
              </w:rPr>
              <w:t>$</w:t>
            </w:r>
            <w:bookmarkStart w:name="_Int_xhkn8QyX" w:id="733143258"/>
            <w:r w:rsidRPr="573D0826" w:rsidR="0E28F504">
              <w:rPr>
                <w:color w:val="0000FF"/>
                <w:u w:val="single"/>
              </w:rPr>
              <w:t>a</w:t>
            </w:r>
            <w:bookmarkEnd w:id="733143258"/>
            <w:r w:rsidRPr="573D0826" w:rsidR="0E28F504">
              <w:rPr>
                <w:color w:val="0000FF"/>
                <w:u w:val="single"/>
              </w:rPr>
              <w:t xml:space="preserve"> Indians of North America $z California, Southern </w:t>
            </w:r>
            <w:r w:rsidRPr="573D0826" w:rsidR="0E28F504">
              <w:rPr>
                <w:b w:val="1"/>
                <w:bCs w:val="1"/>
                <w:color w:val="0000FF"/>
                <w:u w:val="single"/>
              </w:rPr>
              <w:t>$x Music</w:t>
            </w:r>
            <w:r w:rsidRPr="573D0826" w:rsidR="0E28F504">
              <w:rPr>
                <w:color w:val="0000FF"/>
                <w:u w:val="single"/>
              </w:rPr>
              <w:t xml:space="preserve"> $x History and criticism.</w:t>
            </w:r>
          </w:p>
        </w:tc>
      </w:tr>
      <w:tr w:rsidR="1FCC0FC8" w:rsidTr="573D0826" w14:paraId="7CB404FC">
        <w:trPr>
          <w:trHeight w:val="300"/>
        </w:trPr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5257CB43" w14:textId="694DDE66">
            <w:pPr>
              <w:jc w:val="left"/>
            </w:pPr>
            <w:r w:rsidR="1FCC0FC8">
              <w:rPr/>
              <w:t>700 12 $a Bock, jerry fiddler on the roof</w:t>
            </w:r>
          </w:p>
        </w:tc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11FC0477" w14:textId="1020C850">
            <w:pPr>
              <w:jc w:val="left"/>
            </w:pPr>
            <w:r w:rsidR="1FCC0FC8">
              <w:rPr/>
              <w:t>700 12 $a Bock, Jerry. $t Fiddler on the roof.</w:t>
            </w:r>
          </w:p>
        </w:tc>
        <w:tc>
          <w:tcPr>
            <w:tcW w:w="3120" w:type="dxa"/>
            <w:tcBorders/>
            <w:tcMar>
              <w:top w:w="105" w:type="dxa"/>
              <w:left w:w="150" w:type="dxa"/>
              <w:bottom w:w="105" w:type="dxa"/>
              <w:right w:w="150" w:type="dxa"/>
            </w:tcMar>
            <w:vAlign w:val="top"/>
          </w:tcPr>
          <w:p w:rsidR="1FCC0FC8" w:rsidP="1FCC0FC8" w:rsidRDefault="1FCC0FC8" w14:paraId="2159B22A" w14:textId="43D8B24A">
            <w:pPr>
              <w:jc w:val="left"/>
            </w:pPr>
            <w:r w:rsidR="1FCC0FC8">
              <w:rPr/>
              <w:t>700 12 $a Bock, jerry fiddler on the roof</w:t>
            </w:r>
          </w:p>
        </w:tc>
      </w:tr>
    </w:tbl>
    <w:p w:rsidR="1FCC0FC8" w:rsidP="1FCC0FC8" w:rsidRDefault="1FCC0FC8" w14:paraId="2F718C10" w14:textId="19A49E54">
      <w:pPr>
        <w:pStyle w:val="Normal"/>
      </w:pPr>
    </w:p>
    <w:p w:rsidR="799EE00D" w:rsidP="1194B0D2" w:rsidRDefault="799EE00D" w14:paraId="5B1AC506" w14:textId="4054DBAF">
      <w:pPr>
        <w:pStyle w:val="Normal"/>
        <w:rPr>
          <w:noProof w:val="0"/>
          <w:lang w:val="en-US"/>
        </w:rPr>
      </w:pPr>
      <w:r w:rsidRPr="573D0826" w:rsidR="799EE00D">
        <w:rPr>
          <w:noProof w:val="0"/>
          <w:lang w:val="en-US"/>
        </w:rPr>
        <w:t>A</w:t>
      </w:r>
      <w:r w:rsidRPr="573D0826" w:rsidR="291ACE1A">
        <w:rPr>
          <w:noProof w:val="0"/>
          <w:lang w:val="en-US"/>
        </w:rPr>
        <w:t xml:space="preserve">n </w:t>
      </w:r>
      <w:r w:rsidRPr="573D0826" w:rsidR="291ACE1A">
        <w:rPr>
          <w:noProof w:val="0"/>
          <w:lang w:val="en-US"/>
        </w:rPr>
        <w:t>a</w:t>
      </w:r>
      <w:r w:rsidRPr="573D0826" w:rsidR="799EE00D">
        <w:rPr>
          <w:noProof w:val="0"/>
          <w:lang w:val="en-US"/>
        </w:rPr>
        <w:t>dditional</w:t>
      </w:r>
      <w:r w:rsidRPr="573D0826" w:rsidR="799EE00D">
        <w:rPr>
          <w:noProof w:val="0"/>
          <w:lang w:val="en-US"/>
        </w:rPr>
        <w:t xml:space="preserve"> c</w:t>
      </w:r>
      <w:r w:rsidRPr="573D0826" w:rsidR="511483B9">
        <w:rPr>
          <w:noProof w:val="0"/>
          <w:lang w:val="en-US"/>
        </w:rPr>
        <w:t>hange ha</w:t>
      </w:r>
      <w:r w:rsidRPr="573D0826" w:rsidR="2667EB01">
        <w:rPr>
          <w:noProof w:val="0"/>
          <w:lang w:val="en-US"/>
        </w:rPr>
        <w:t>s</w:t>
      </w:r>
      <w:r w:rsidRPr="573D0826" w:rsidR="511483B9">
        <w:rPr>
          <w:noProof w:val="0"/>
          <w:lang w:val="en-US"/>
        </w:rPr>
        <w:t xml:space="preserve"> been </w:t>
      </w:r>
      <w:r w:rsidRPr="573D0826" w:rsidR="58191786">
        <w:rPr>
          <w:noProof w:val="0"/>
          <w:lang w:val="en-US"/>
        </w:rPr>
        <w:t>made to block the flip of Library of Congress genre terms</w:t>
      </w:r>
      <w:r w:rsidRPr="573D0826" w:rsidR="527B3AD1">
        <w:rPr>
          <w:noProof w:val="0"/>
          <w:lang w:val="en-US"/>
        </w:rPr>
        <w:t xml:space="preserve"> coded as 655, second indicator 0 to 655, second indicator 7 and $2 </w:t>
      </w:r>
      <w:r w:rsidRPr="573D0826" w:rsidR="527B3AD1">
        <w:rPr>
          <w:noProof w:val="0"/>
          <w:lang w:val="en-US"/>
        </w:rPr>
        <w:t>lcgft</w:t>
      </w:r>
      <w:r w:rsidRPr="573D0826" w:rsidR="672FE7F9">
        <w:rPr>
          <w:noProof w:val="0"/>
          <w:lang w:val="en-US"/>
        </w:rPr>
        <w:t xml:space="preserve">. </w:t>
      </w:r>
      <w:r w:rsidRPr="573D0826" w:rsidR="39C4790C">
        <w:rPr>
          <w:noProof w:val="0"/>
          <w:lang w:val="en-US"/>
        </w:rPr>
        <w:t xml:space="preserve">This is no longer </w:t>
      </w:r>
      <w:r w:rsidRPr="573D0826" w:rsidR="39C4790C">
        <w:rPr>
          <w:noProof w:val="0"/>
          <w:lang w:val="en-US"/>
        </w:rPr>
        <w:t>an appropriate change</w:t>
      </w:r>
      <w:r w:rsidRPr="573D0826" w:rsidR="39C4790C">
        <w:rPr>
          <w:noProof w:val="0"/>
          <w:lang w:val="en-US"/>
        </w:rPr>
        <w:t xml:space="preserve"> since OCLC hosts multiple files with genre terms</w:t>
      </w:r>
      <w:r w:rsidRPr="573D0826" w:rsidR="06146D54">
        <w:rPr>
          <w:noProof w:val="0"/>
          <w:lang w:val="en-US"/>
        </w:rPr>
        <w:t xml:space="preserve">. </w:t>
      </w:r>
      <w:r w:rsidRPr="573D0826" w:rsidR="39C4790C">
        <w:rPr>
          <w:noProof w:val="0"/>
          <w:lang w:val="en-US"/>
        </w:rPr>
        <w:t xml:space="preserve">Starting June 13, users </w:t>
      </w:r>
      <w:r w:rsidRPr="573D0826" w:rsidR="39C4790C">
        <w:rPr>
          <w:noProof w:val="0"/>
          <w:lang w:val="en-US"/>
        </w:rPr>
        <w:t>attempting</w:t>
      </w:r>
      <w:r w:rsidRPr="573D0826" w:rsidR="39C4790C">
        <w:rPr>
          <w:noProof w:val="0"/>
          <w:lang w:val="en-US"/>
        </w:rPr>
        <w:t xml:space="preserve"> to control a heading will n</w:t>
      </w:r>
      <w:r w:rsidRPr="573D0826" w:rsidR="78695E3D">
        <w:rPr>
          <w:noProof w:val="0"/>
          <w:lang w:val="en-US"/>
        </w:rPr>
        <w:t xml:space="preserve">eed to change the indicator value and add the $2 thesaurus source file code to direct the matching to the </w:t>
      </w:r>
      <w:r w:rsidRPr="573D0826" w:rsidR="78695E3D">
        <w:rPr>
          <w:noProof w:val="0"/>
          <w:lang w:val="en-US"/>
        </w:rPr>
        <w:t>appropriate authority</w:t>
      </w:r>
      <w:r w:rsidRPr="573D0826" w:rsidR="78695E3D">
        <w:rPr>
          <w:noProof w:val="0"/>
          <w:lang w:val="en-US"/>
        </w:rPr>
        <w:t xml:space="preserve"> file.</w:t>
      </w:r>
    </w:p>
    <w:p w:rsidR="78695E3D" w:rsidP="1194B0D2" w:rsidRDefault="78695E3D" w14:paraId="64D2EA66" w14:textId="2F6CEBA5">
      <w:pPr>
        <w:pStyle w:val="Normal"/>
        <w:rPr>
          <w:noProof w:val="0"/>
          <w:lang w:val="en-US"/>
        </w:rPr>
      </w:pPr>
      <w:r w:rsidRPr="1194B0D2" w:rsidR="78695E3D">
        <w:rPr>
          <w:noProof w:val="0"/>
          <w:lang w:val="en-US"/>
        </w:rPr>
        <w:t>Example:</w:t>
      </w:r>
    </w:p>
    <w:tbl>
      <w:tblPr>
        <w:tblStyle w:val="TableGrid"/>
        <w:tblW w:w="0" w:type="auto"/>
        <w:tblBorders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1FCC0FC8" w:rsidTr="1194B0D2" w14:paraId="788396E4">
        <w:trPr>
          <w:trHeight w:val="300"/>
        </w:trPr>
        <w:tc>
          <w:tcPr>
            <w:tcW w:w="3120" w:type="dxa"/>
            <w:tcBorders/>
            <w:shd w:val="clear" w:color="auto" w:fill="F2F2F2" w:themeFill="background1" w:themeFillShade="F2"/>
            <w:tcMar>
              <w:top w:w="135" w:type="dxa"/>
              <w:left w:w="135" w:type="dxa"/>
              <w:bottom w:w="135" w:type="dxa"/>
              <w:right w:w="135" w:type="dxa"/>
            </w:tcMar>
            <w:vAlign w:val="top"/>
          </w:tcPr>
          <w:p w:rsidR="1FCC0FC8" w:rsidP="1194B0D2" w:rsidRDefault="1FCC0FC8" w14:paraId="3F2F195D" w14:textId="14243ED8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4B4B4B"/>
                <w:sz w:val="18"/>
                <w:szCs w:val="18"/>
              </w:rPr>
            </w:pPr>
            <w:r w:rsidRPr="1194B0D2" w:rsidR="54648193">
              <w:rPr>
                <w:b w:val="1"/>
                <w:bCs w:val="1"/>
              </w:rPr>
              <w:t>Starting heading</w:t>
            </w:r>
          </w:p>
        </w:tc>
        <w:tc>
          <w:tcPr>
            <w:tcW w:w="3120" w:type="dxa"/>
            <w:tcBorders/>
            <w:shd w:val="clear" w:color="auto" w:fill="F2F2F2" w:themeFill="background1" w:themeFillShade="F2"/>
            <w:tcMar>
              <w:top w:w="135" w:type="dxa"/>
              <w:left w:w="135" w:type="dxa"/>
              <w:bottom w:w="135" w:type="dxa"/>
              <w:right w:w="135" w:type="dxa"/>
            </w:tcMar>
            <w:vAlign w:val="top"/>
          </w:tcPr>
          <w:p w:rsidR="1FCC0FC8" w:rsidP="1194B0D2" w:rsidRDefault="1FCC0FC8" w14:paraId="41CD497A" w14:textId="7B192BD2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4B4B4B"/>
                <w:sz w:val="18"/>
                <w:szCs w:val="18"/>
              </w:rPr>
            </w:pPr>
            <w:r w:rsidRPr="1194B0D2" w:rsidR="54648193">
              <w:rPr>
                <w:b w:val="1"/>
                <w:bCs w:val="1"/>
              </w:rPr>
              <w:t>Current functionality</w:t>
            </w:r>
          </w:p>
        </w:tc>
        <w:tc>
          <w:tcPr>
            <w:tcW w:w="3120" w:type="dxa"/>
            <w:tcBorders/>
            <w:shd w:val="clear" w:color="auto" w:fill="F2F2F2" w:themeFill="background1" w:themeFillShade="F2"/>
            <w:tcMar>
              <w:top w:w="135" w:type="dxa"/>
              <w:left w:w="135" w:type="dxa"/>
              <w:bottom w:w="135" w:type="dxa"/>
              <w:right w:w="135" w:type="dxa"/>
            </w:tcMar>
            <w:vAlign w:val="top"/>
          </w:tcPr>
          <w:p w:rsidR="1FCC0FC8" w:rsidP="1194B0D2" w:rsidRDefault="1FCC0FC8" w14:paraId="22855ABE" w14:textId="3E3011AF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4B4B4B"/>
                <w:sz w:val="18"/>
                <w:szCs w:val="18"/>
              </w:rPr>
            </w:pPr>
            <w:r w:rsidRPr="1194B0D2" w:rsidR="54648193">
              <w:rPr>
                <w:b w:val="1"/>
                <w:bCs w:val="1"/>
              </w:rPr>
              <w:t>Starting on June 13</w:t>
            </w:r>
          </w:p>
        </w:tc>
      </w:tr>
      <w:tr w:rsidR="1FCC0FC8" w:rsidTr="1194B0D2" w14:paraId="6ACA313A">
        <w:trPr>
          <w:trHeight w:val="300"/>
        </w:trPr>
        <w:tc>
          <w:tcPr>
            <w:tcW w:w="3120" w:type="dxa"/>
            <w:tcBorders/>
            <w:tcMar>
              <w:top w:w="135" w:type="dxa"/>
              <w:left w:w="135" w:type="dxa"/>
              <w:bottom w:w="135" w:type="dxa"/>
              <w:right w:w="135" w:type="dxa"/>
            </w:tcMar>
            <w:vAlign w:val="top"/>
          </w:tcPr>
          <w:p w:rsidR="1FCC0FC8" w:rsidP="1194B0D2" w:rsidRDefault="1FCC0FC8" w14:paraId="2A8581FA" w14:textId="65F1E139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4B4B4B"/>
                <w:sz w:val="18"/>
                <w:szCs w:val="18"/>
              </w:rPr>
            </w:pPr>
            <w:r w:rsidR="54648193">
              <w:rPr/>
              <w:t>655 _0 Fiction films.</w:t>
            </w:r>
          </w:p>
        </w:tc>
        <w:tc>
          <w:tcPr>
            <w:tcW w:w="3120" w:type="dxa"/>
            <w:tcBorders/>
            <w:tcMar>
              <w:top w:w="135" w:type="dxa"/>
              <w:left w:w="135" w:type="dxa"/>
              <w:bottom w:w="135" w:type="dxa"/>
              <w:right w:w="135" w:type="dxa"/>
            </w:tcMar>
            <w:vAlign w:val="top"/>
          </w:tcPr>
          <w:p w:rsidR="1FCC0FC8" w:rsidP="1194B0D2" w:rsidRDefault="1FCC0FC8" w14:paraId="6AB3D5E1" w14:textId="4C79325D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4B4B4B"/>
                <w:sz w:val="18"/>
                <w:szCs w:val="18"/>
              </w:rPr>
            </w:pPr>
            <w:r w:rsidR="54648193">
              <w:rPr/>
              <w:t xml:space="preserve">655 _7 Fiction films. ǂ2 </w:t>
            </w:r>
            <w:r w:rsidR="54648193">
              <w:rPr/>
              <w:t>lcgft</w:t>
            </w:r>
          </w:p>
        </w:tc>
        <w:tc>
          <w:tcPr>
            <w:tcW w:w="3120" w:type="dxa"/>
            <w:tcBorders/>
            <w:tcMar>
              <w:top w:w="135" w:type="dxa"/>
              <w:left w:w="135" w:type="dxa"/>
              <w:bottom w:w="135" w:type="dxa"/>
              <w:right w:w="135" w:type="dxa"/>
            </w:tcMar>
            <w:vAlign w:val="top"/>
          </w:tcPr>
          <w:p w:rsidR="1FCC0FC8" w:rsidP="1194B0D2" w:rsidRDefault="1FCC0FC8" w14:paraId="2A343648" w14:textId="5897D1A3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4B4B4B"/>
                <w:sz w:val="18"/>
                <w:szCs w:val="18"/>
              </w:rPr>
            </w:pPr>
            <w:r w:rsidR="54648193">
              <w:rPr/>
              <w:t>655 _0 Fiction films.</w:t>
            </w:r>
          </w:p>
        </w:tc>
      </w:tr>
    </w:tbl>
    <w:p w:rsidR="1FCC0FC8" w:rsidP="1194B0D2" w:rsidRDefault="1FCC0FC8" w14:paraId="45C9C4B7" w14:textId="65E3F096">
      <w:pPr>
        <w:pStyle w:val="Normal"/>
      </w:pPr>
    </w:p>
    <w:p w:rsidR="1B88C176" w:rsidP="1194B0D2" w:rsidRDefault="1B88C176" w14:paraId="70CB466A" w14:textId="3760B924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bookmarkStart w:name="_Int_eXQmatZk" w:id="40002555"/>
      <w:r w:rsidRPr="573D0826" w:rsidR="1B88C176">
        <w:rPr>
          <w:rFonts w:ascii="Calibri" w:hAnsi="Calibri" w:eastAsia="Calibri" w:cs="Calibri"/>
          <w:noProof w:val="0"/>
          <w:sz w:val="22"/>
          <w:szCs w:val="22"/>
          <w:lang w:val="en-US"/>
        </w:rPr>
        <w:t>The Offline Heading Control Service (HCS)</w:t>
      </w:r>
      <w:r w:rsidRPr="573D0826" w:rsidR="621DE5B5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is expected to resume </w:t>
      </w:r>
      <w:r w:rsidRPr="573D0826" w:rsidR="5D59D54C">
        <w:rPr>
          <w:rFonts w:ascii="Calibri" w:hAnsi="Calibri" w:eastAsia="Calibri" w:cs="Calibri"/>
          <w:noProof w:val="0"/>
          <w:sz w:val="22"/>
          <w:szCs w:val="22"/>
          <w:lang w:val="en-US"/>
        </w:rPr>
        <w:t>automated daily controlling in the near future.</w:t>
      </w:r>
      <w:bookmarkEnd w:id="40002555"/>
    </w:p>
    <w:p w:rsidR="7C8E2413" w:rsidP="1194B0D2" w:rsidRDefault="7C8E2413" w14:paraId="3BB354F6" w14:textId="67507948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1194B0D2" w:rsidR="7C8E241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The </w:t>
      </w:r>
      <w:r w:rsidRPr="1194B0D2" w:rsidR="28B67DCE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Controlled Heading Update Service (CHUPD) </w:t>
      </w:r>
      <w:r w:rsidRPr="1194B0D2" w:rsidR="4C307287">
        <w:rPr>
          <w:rFonts w:ascii="Calibri" w:hAnsi="Calibri" w:eastAsia="Calibri" w:cs="Calibri"/>
          <w:noProof w:val="0"/>
          <w:sz w:val="22"/>
          <w:szCs w:val="22"/>
          <w:lang w:val="en-US"/>
        </w:rPr>
        <w:t>is</w:t>
      </w:r>
      <w:r w:rsidRPr="1194B0D2" w:rsidR="28B67DCE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caught up from the pause that happened between December 2022 and April 2023</w:t>
      </w:r>
      <w:r w:rsidRPr="1194B0D2" w:rsidR="1050C700">
        <w:rPr>
          <w:rFonts w:ascii="Calibri" w:hAnsi="Calibri" w:eastAsia="Calibri" w:cs="Calibri"/>
          <w:noProof w:val="0"/>
          <w:sz w:val="22"/>
          <w:szCs w:val="22"/>
          <w:lang w:val="en-US"/>
        </w:rPr>
        <w:t>.</w:t>
      </w:r>
    </w:p>
    <w:p w:rsidR="4604D6FD" w:rsidP="573D0826" w:rsidRDefault="4604D6FD" w14:paraId="4251AA3C" w14:textId="06FC5130">
      <w:pPr>
        <w:pStyle w:val="Heading1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573D0826" w:rsidR="4604D6FD">
        <w:rPr>
          <w:noProof w:val="0"/>
          <w:lang w:val="en-US"/>
        </w:rPr>
        <w:t>Enrichment</w:t>
      </w:r>
      <w:r w:rsidRPr="573D0826" w:rsidR="55824013">
        <w:rPr>
          <w:noProof w:val="0"/>
          <w:lang w:val="en-US"/>
        </w:rPr>
        <w:t xml:space="preserve"> Updates</w:t>
      </w:r>
    </w:p>
    <w:p w:rsidR="12C98832" w:rsidP="1FCC0FC8" w:rsidRDefault="12C98832" w14:paraId="15A3B1E7" w14:textId="6A6C88EC">
      <w:pPr>
        <w:pStyle w:val="Normal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</w:pPr>
      <w:r w:rsidRPr="210D0864" w:rsidR="4604D6FD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A project is underway to programmatically add </w:t>
      </w:r>
      <w:r w:rsidRPr="210D0864" w:rsidR="148F8B68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Dewey Decimal Classification (</w:t>
      </w:r>
      <w:r w:rsidRPr="210D0864" w:rsidR="4604D6FD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DDC</w:t>
      </w:r>
      <w:r w:rsidRPr="210D0864" w:rsidR="0E448856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)</w:t>
      </w:r>
      <w:r w:rsidRPr="210D0864" w:rsidR="4604D6FD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numbers to records within the same Work cluster under a strict set of conditions</w:t>
      </w:r>
      <w:r w:rsidRPr="210D0864" w:rsidR="30CAAF55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. </w:t>
      </w:r>
      <w:r w:rsidRPr="210D0864" w:rsidR="4604D6FD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This work was coordinated closely with the Se</w:t>
      </w:r>
      <w:r w:rsidRPr="210D0864" w:rsidR="7FBA52B8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nior Dewey Editor, Alex Kyrios, to ensure </w:t>
      </w:r>
      <w:r w:rsidRPr="210D0864" w:rsidR="7FBA52B8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accurate</w:t>
      </w:r>
      <w:r w:rsidRPr="210D0864" w:rsidR="7FBA52B8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conditions and formatting</w:t>
      </w:r>
      <w:r w:rsidRPr="210D0864" w:rsidR="727FD909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. </w:t>
      </w:r>
      <w:r w:rsidRPr="210D0864" w:rsidR="26306981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</w:t>
      </w:r>
      <w:r w:rsidRPr="210D0864" w:rsidR="26306981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OCLC has </w:t>
      </w:r>
      <w:r w:rsidRPr="210D0864" w:rsidR="26306981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identified</w:t>
      </w:r>
      <w:r w:rsidRPr="210D0864" w:rsidR="26306981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approximately 85 million records as candidates for enrichment, and so </w:t>
      </w:r>
      <w:r w:rsidRPr="210D0864" w:rsidR="26306981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far</w:t>
      </w:r>
      <w:r w:rsidRPr="210D0864" w:rsidR="35B2A522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,</w:t>
      </w:r>
      <w:r w:rsidRPr="210D0864" w:rsidR="26306981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approximately </w:t>
      </w:r>
      <w:r w:rsidRPr="210D0864" w:rsidR="7AC61ACC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25 million have been enriched since the project began in February.</w:t>
      </w:r>
      <w:r w:rsidRPr="210D0864" w:rsidR="794E244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</w:t>
      </w:r>
      <w:r w:rsidRPr="210D0864" w:rsidR="2C808F8E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This project will support the Dewey as linked data project slated for later this year.</w:t>
      </w:r>
    </w:p>
    <w:p w:rsidR="3AAED012" w:rsidP="1194B0D2" w:rsidRDefault="3AAED012" w14:paraId="08D1F2A6" w14:textId="6EF5937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>Additional</w:t>
      </w:r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functionality has been added to the existing enrichment process to allow enrichment from headings represented by a single </w:t>
      </w:r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>Répertoire</w:t>
      </w:r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de Vedettes Matière (RVM) authority to headings represented by multiple LC authorities, and vice versa</w:t>
      </w:r>
      <w:bookmarkStart w:name="_Int_BRX61URj" w:id="102486748"/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.  </w:t>
      </w:r>
      <w:bookmarkEnd w:id="102486748"/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This work supports the </w:t>
      </w:r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>appropriate</w:t>
      </w:r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and </w:t>
      </w:r>
      <w:r w:rsidRPr="573D0826" w:rsidR="00FB50D2">
        <w:rPr>
          <w:rFonts w:ascii="Calibri" w:hAnsi="Calibri" w:eastAsia="Calibri" w:cs="Calibri"/>
          <w:noProof w:val="0"/>
          <w:sz w:val="22"/>
          <w:szCs w:val="22"/>
          <w:lang w:val="en-US"/>
        </w:rPr>
        <w:t>complete application</w:t>
      </w:r>
      <w:r w:rsidRPr="573D0826" w:rsidR="3AAED01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of the two vocabularies.</w:t>
      </w:r>
    </w:p>
    <w:p w:rsidR="2E3CA722" w:rsidP="573D0826" w:rsidRDefault="2E3CA722" w14:paraId="786A8F46" w14:textId="61230796">
      <w:pPr>
        <w:pStyle w:val="Heading1"/>
        <w:rPr>
          <w:b w:val="1"/>
          <w:bCs w:val="1"/>
        </w:rPr>
      </w:pPr>
      <w:r w:rsidR="2E3CA722">
        <w:rPr/>
        <w:t>FAST</w:t>
      </w:r>
    </w:p>
    <w:p w:rsidR="193AE176" w:rsidP="1FCC0FC8" w:rsidRDefault="193AE176" w14:paraId="2B386C7A" w14:textId="07B09F4A">
      <w:pPr>
        <w:pStyle w:val="Normal"/>
      </w:pPr>
      <w:r w:rsidR="1EBFEF9C">
        <w:rPr/>
        <w:t xml:space="preserve">An enhancement to </w:t>
      </w:r>
      <w:r w:rsidR="1EBFEF9C">
        <w:rPr/>
        <w:t xml:space="preserve">Record Manager is </w:t>
      </w:r>
      <w:r w:rsidR="0E56E94D">
        <w:rPr/>
        <w:t xml:space="preserve">tentatively </w:t>
      </w:r>
      <w:r w:rsidR="1EBFEF9C">
        <w:rPr/>
        <w:t>scheduled</w:t>
      </w:r>
      <w:r w:rsidR="1EBFEF9C">
        <w:rPr/>
        <w:t xml:space="preserve"> for implementation </w:t>
      </w:r>
      <w:r w:rsidR="79AFF8BB">
        <w:rPr/>
        <w:t>later t</w:t>
      </w:r>
      <w:r w:rsidR="79AFF8BB">
        <w:rPr/>
        <w:t>his year</w:t>
      </w:r>
      <w:r w:rsidR="1E92F81A">
        <w:rPr/>
        <w:t xml:space="preserve">. </w:t>
      </w:r>
      <w:r w:rsidR="1EBFEF9C">
        <w:rPr/>
        <w:t>This will allow users to sea</w:t>
      </w:r>
      <w:r w:rsidR="71D95DC6">
        <w:rPr/>
        <w:t xml:space="preserve">rch the </w:t>
      </w:r>
      <w:r w:rsidR="71D95DC6">
        <w:rPr/>
        <w:t>FAST</w:t>
      </w:r>
      <w:r w:rsidR="71D95DC6">
        <w:rPr/>
        <w:t xml:space="preserve"> authority files to copy data, link headings, and </w:t>
      </w:r>
      <w:r w:rsidR="71D95DC6">
        <w:rPr/>
        <w:t>exp</w:t>
      </w:r>
      <w:r w:rsidR="71D95DC6">
        <w:rPr/>
        <w:t>ort record</w:t>
      </w:r>
      <w:r w:rsidR="71D95DC6">
        <w:rPr/>
        <w:t>s</w:t>
      </w:r>
      <w:r w:rsidR="71D95DC6">
        <w:rPr/>
        <w:t>.</w:t>
      </w:r>
      <w:r w:rsidR="3DE93EE2">
        <w:rPr/>
        <w:t xml:space="preserve"> </w:t>
      </w:r>
      <w:r w:rsidR="3DE93EE2">
        <w:rPr/>
        <w:t xml:space="preserve">The enhanced integration between Record Manager </w:t>
      </w:r>
      <w:r w:rsidR="3DE93EE2">
        <w:rPr/>
        <w:t>and FAS</w:t>
      </w:r>
      <w:r w:rsidR="3DE93EE2">
        <w:rPr/>
        <w:t xml:space="preserve">T </w:t>
      </w:r>
      <w:r w:rsidR="411DAD52">
        <w:rPr/>
        <w:t>will</w:t>
      </w:r>
      <w:r w:rsidR="411DAD52">
        <w:rPr/>
        <w:t xml:space="preserve"> </w:t>
      </w:r>
      <w:r w:rsidR="411DAD52">
        <w:rPr/>
        <w:t>provid</w:t>
      </w:r>
      <w:r w:rsidR="411DAD52">
        <w:rPr/>
        <w:t>e</w:t>
      </w:r>
      <w:r w:rsidR="411DAD52">
        <w:rPr/>
        <w:t xml:space="preserve"> ease-of-use to the user and increase the application of </w:t>
      </w:r>
      <w:r w:rsidR="411DAD52">
        <w:rPr/>
        <w:t>FAST ter</w:t>
      </w:r>
      <w:r w:rsidR="411DAD52">
        <w:rPr/>
        <w:t>ms in</w:t>
      </w:r>
      <w:r w:rsidR="411DAD52">
        <w:rPr/>
        <w:t xml:space="preserve"> </w:t>
      </w:r>
      <w:r w:rsidR="411DAD52">
        <w:rPr/>
        <w:t>WorldCa</w:t>
      </w:r>
      <w:r w:rsidR="411DAD52">
        <w:rPr/>
        <w:t>t</w:t>
      </w:r>
      <w:r w:rsidR="411DAD52">
        <w:rPr/>
        <w:t>.</w:t>
      </w:r>
    </w:p>
    <w:p w:rsidR="1FCC0FC8" w:rsidP="1FCC0FC8" w:rsidRDefault="1FCC0FC8" w14:paraId="2B91750F" w14:textId="18C3D9DF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1fe13f796fe746de"/>
      <w:footerReference w:type="default" r:id="R5618d84f3cff43f7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73D0826" w:rsidTr="573D0826" w14:paraId="4DAD1D7D">
      <w:trPr>
        <w:trHeight w:val="300"/>
      </w:trPr>
      <w:tc>
        <w:tcPr>
          <w:tcW w:w="3120" w:type="dxa"/>
          <w:tcMar/>
        </w:tcPr>
        <w:p w:rsidR="573D0826" w:rsidP="573D0826" w:rsidRDefault="573D0826" w14:paraId="729D2F81" w14:textId="03BB627A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73D0826" w:rsidP="573D0826" w:rsidRDefault="573D0826" w14:paraId="12A0171A" w14:textId="72E453F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73D0826" w:rsidP="573D0826" w:rsidRDefault="573D0826" w14:paraId="51527B27" w14:textId="668AA40F">
          <w:pPr>
            <w:pStyle w:val="Header"/>
            <w:bidi w:val="0"/>
            <w:ind w:right="-115"/>
            <w:jc w:val="right"/>
          </w:pPr>
        </w:p>
      </w:tc>
    </w:tr>
  </w:tbl>
  <w:p w:rsidR="573D0826" w:rsidP="573D0826" w:rsidRDefault="573D0826" w14:paraId="1CEB87B8" w14:textId="2E400626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73D0826" w:rsidTr="573D0826" w14:paraId="57E06973">
      <w:trPr>
        <w:trHeight w:val="300"/>
      </w:trPr>
      <w:tc>
        <w:tcPr>
          <w:tcW w:w="3120" w:type="dxa"/>
          <w:tcMar/>
        </w:tcPr>
        <w:p w:rsidR="573D0826" w:rsidP="573D0826" w:rsidRDefault="573D0826" w14:paraId="7348985E" w14:textId="7919A6BB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73D0826" w:rsidP="573D0826" w:rsidRDefault="573D0826" w14:paraId="6E6BF437" w14:textId="2474138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73D0826" w:rsidP="573D0826" w:rsidRDefault="573D0826" w14:paraId="477E5001" w14:textId="429D39D3">
          <w:pPr>
            <w:pStyle w:val="Header"/>
            <w:bidi w:val="0"/>
            <w:ind w:right="-115"/>
            <w:jc w:val="right"/>
          </w:pPr>
          <w:r w:rsidR="573D0826">
            <w:rPr/>
            <w:t>SAC23-AN-OCLC</w:t>
          </w:r>
        </w:p>
      </w:tc>
    </w:tr>
  </w:tbl>
  <w:p w:rsidR="573D0826" w:rsidP="573D0826" w:rsidRDefault="573D0826" w14:paraId="057C525E" w14:textId="0C42DBCA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cv/XyN+fsew7qn" int2:id="W9qIOV7T">
      <int2:state int2:type="AugLoop_Text_Critique" int2:value="Rejected"/>
    </int2:textHash>
    <int2:textHash int2:hashCode="M/4UFz76SM0/Af" int2:id="SZkIR3Ki">
      <int2:state int2:type="AugLoop_Text_Critique" int2:value="Rejected"/>
    </int2:textHash>
    <int2:textHash int2:hashCode="lO/+RXhZm5+QCd" int2:id="f2r33b0o">
      <int2:state int2:type="AugLoop_Text_Critique" int2:value="Rejected"/>
    </int2:textHash>
    <int2:textHash int2:hashCode="d81+8Ks0xGngxH" int2:id="4MVx63Qz">
      <int2:state int2:type="AugLoop_Text_Critique" int2:value="Rejected"/>
    </int2:textHash>
    <int2:textHash int2:hashCode="XSzB2xDZExl5qM" int2:id="M3J2wqAZ">
      <int2:state int2:type="AugLoop_Text_Critique" int2:value="Rejected"/>
    </int2:textHash>
    <int2:bookmark int2:bookmarkName="_Int_BRX61URj" int2:invalidationBookmarkName="" int2:hashCode="RoHRJMxsS3O6q/" int2:id="tTGaRQwZ">
      <int2:state int2:type="AugLoop_Text_Critique" int2:value="Rejected"/>
    </int2:bookmark>
    <int2:bookmark int2:bookmarkName="_Int_7gVonMjc" int2:invalidationBookmarkName="" int2:hashCode="RoHRJMxsS3O6q/" int2:id="iRRi4jsl">
      <int2:state int2:type="AugLoop_Text_Critique" int2:value="Rejected"/>
    </int2:bookmark>
    <int2:bookmark int2:bookmarkName="_Int_eXQmatZk" int2:invalidationBookmarkName="" int2:hashCode="GBOcs1k9hHXBdM" int2:id="I8C5IyWZ">
      <int2:state int2:type="AugLoop_Text_Critique" int2:value="Rejected"/>
    </int2:bookmark>
    <int2:bookmark int2:bookmarkName="_Int_UEn8hGyo" int2:invalidationBookmarkName="" int2:hashCode="ehNUDSpdGPSVp5" int2:id="U9L9yULe">
      <int2:state int2:type="AugLoop_Text_Critique" int2:value="Rejected"/>
    </int2:bookmark>
    <int2:bookmark int2:bookmarkName="_Int_pMfho8kI" int2:invalidationBookmarkName="" int2:hashCode="l4Yxpcf56j5Dlb" int2:id="DyXduXtk">
      <int2:state int2:type="AugLoop_Text_Critique" int2:value="Rejected"/>
    </int2:bookmark>
    <int2:bookmark int2:bookmarkName="_Int_i7on1IHz" int2:invalidationBookmarkName="" int2:hashCode="VyOSiNIga66emi" int2:id="iPJxGH57">
      <int2:state int2:type="AugLoop_Text_Critique" int2:value="Rejected"/>
    </int2:bookmark>
    <int2:bookmark int2:bookmarkName="_Int_XRBOqAuO" int2:invalidationBookmarkName="" int2:hashCode="43le9EXZjJjgqF" int2:id="ecqcz5Xp">
      <int2:state int2:type="AugLoop_Acronyms_AcronymsCritique" int2:value="Rejected"/>
    </int2:bookmark>
    <int2:bookmark int2:bookmarkName="_Int_aTni2uMG" int2:invalidationBookmarkName="" int2:hashCode="kUbyhBlfj7GplA" int2:id="eBgfg1DL">
      <int2:state int2:type="AugLoop_Acronyms_AcronymsCritique" int2:value="Rejected"/>
    </int2:bookmark>
    <int2:bookmark int2:bookmarkName="_Int_OmcPFJOO" int2:invalidationBookmarkName="" int2:hashCode="U2oI0xu7SZlSKp" int2:id="TkCbWRPk">
      <int2:state int2:type="AugLoop_Acronyms_AcronymsCritique" int2:value="Rejected"/>
    </int2:bookmark>
    <int2:bookmark int2:bookmarkName="_Int_73aCkGys" int2:invalidationBookmarkName="" int2:hashCode="StL7vNDrZXXYiP" int2:id="oCp7EIMC">
      <int2:state int2:type="AugLoop_Acronyms_AcronymsCritique" int2:value="Rejected"/>
    </int2:bookmark>
    <int2:bookmark int2:bookmarkName="_Int_kpbENZMj" int2:invalidationBookmarkName="" int2:hashCode="eiH7LGkDd49I9+" int2:id="NYI9MlET">
      <int2:state int2:type="AugLoop_Acronyms_AcronymsCritique" int2:value="Rejected"/>
    </int2:bookmark>
    <int2:bookmark int2:bookmarkName="_Int_0YIY7cSn" int2:invalidationBookmarkName="" int2:hashCode="Ow5Y1Dl1o9HxaN" int2:id="kRR4zpIE">
      <int2:state int2:type="AugLoop_Acronyms_AcronymsCritique" int2:value="Rejected"/>
    </int2:bookmark>
    <int2:bookmark int2:bookmarkName="_Int_xhkn8QyX" int2:invalidationBookmarkName="" int2:hashCode="hvfkN/qlp/zhXR" int2:id="919tgYij">
      <int2:state int2:type="AugLoop_Text_Critique" int2:value="Rejected"/>
    </int2:bookmark>
    <int2:bookmark int2:bookmarkName="_Int_lhgW71b1" int2:invalidationBookmarkName="" int2:hashCode="hvfkN/qlp/zhXR" int2:id="hbbtY6FB">
      <int2:state int2:type="AugLoop_Text_Critique" int2:value="Rejected"/>
    </int2:bookmark>
    <int2:bookmark int2:bookmarkName="_Int_hQI5R228" int2:invalidationBookmarkName="" int2:hashCode="hvfkN/qlp/zhXR" int2:id="YqySCTxL">
      <int2:state int2:type="AugLoop_Text_Critique" int2:value="Rejected"/>
    </int2:bookmark>
    <int2:bookmark int2:bookmarkName="_Int_O5L64LNe" int2:invalidationBookmarkName="" int2:hashCode="HFQTK45an6RKmh" int2:id="jn3B8DmD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665641b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a7225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98285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7b9698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d0e17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72ab35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6cd068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B9854E"/>
    <w:rsid w:val="005511CC"/>
    <w:rsid w:val="00D5B120"/>
    <w:rsid w:val="00FB50D2"/>
    <w:rsid w:val="01195FA8"/>
    <w:rsid w:val="0140DFD9"/>
    <w:rsid w:val="0184BACB"/>
    <w:rsid w:val="01C47FC0"/>
    <w:rsid w:val="01D59AA7"/>
    <w:rsid w:val="0224D509"/>
    <w:rsid w:val="02618760"/>
    <w:rsid w:val="035914B1"/>
    <w:rsid w:val="03E7EE0A"/>
    <w:rsid w:val="04460196"/>
    <w:rsid w:val="04B4A7C8"/>
    <w:rsid w:val="05268BFF"/>
    <w:rsid w:val="05699099"/>
    <w:rsid w:val="05B25310"/>
    <w:rsid w:val="06146D54"/>
    <w:rsid w:val="0622728B"/>
    <w:rsid w:val="06D7ED9C"/>
    <w:rsid w:val="06FBC3EA"/>
    <w:rsid w:val="071F8ECC"/>
    <w:rsid w:val="07574813"/>
    <w:rsid w:val="07A1200C"/>
    <w:rsid w:val="07EC488A"/>
    <w:rsid w:val="0865BD20"/>
    <w:rsid w:val="0894C227"/>
    <w:rsid w:val="090B662A"/>
    <w:rsid w:val="092A2A6E"/>
    <w:rsid w:val="093CF06D"/>
    <w:rsid w:val="0944DDF3"/>
    <w:rsid w:val="09F9DFCA"/>
    <w:rsid w:val="0AD8C0CE"/>
    <w:rsid w:val="0B8D5457"/>
    <w:rsid w:val="0B93D7EA"/>
    <w:rsid w:val="0CAB14E4"/>
    <w:rsid w:val="0D47146D"/>
    <w:rsid w:val="0E28F504"/>
    <w:rsid w:val="0E448856"/>
    <w:rsid w:val="0E56E94D"/>
    <w:rsid w:val="0EC9D724"/>
    <w:rsid w:val="0F1D4CE0"/>
    <w:rsid w:val="0F3EE38C"/>
    <w:rsid w:val="0FAC31F1"/>
    <w:rsid w:val="1000E217"/>
    <w:rsid w:val="1050C700"/>
    <w:rsid w:val="10A8A636"/>
    <w:rsid w:val="114FEFD8"/>
    <w:rsid w:val="11779278"/>
    <w:rsid w:val="1194B0D2"/>
    <w:rsid w:val="122E4392"/>
    <w:rsid w:val="12C46886"/>
    <w:rsid w:val="12C98832"/>
    <w:rsid w:val="131A18FF"/>
    <w:rsid w:val="134A4A3F"/>
    <w:rsid w:val="13C42A3E"/>
    <w:rsid w:val="13C50DBE"/>
    <w:rsid w:val="14823861"/>
    <w:rsid w:val="148F8B68"/>
    <w:rsid w:val="14DF0CFB"/>
    <w:rsid w:val="14DF0CFB"/>
    <w:rsid w:val="156621BD"/>
    <w:rsid w:val="16475A26"/>
    <w:rsid w:val="1651B9C1"/>
    <w:rsid w:val="16959937"/>
    <w:rsid w:val="17181CE9"/>
    <w:rsid w:val="17BF315C"/>
    <w:rsid w:val="17E32A87"/>
    <w:rsid w:val="18850B65"/>
    <w:rsid w:val="18C4E86E"/>
    <w:rsid w:val="18E5E61E"/>
    <w:rsid w:val="193AE176"/>
    <w:rsid w:val="194C8756"/>
    <w:rsid w:val="1984D4ED"/>
    <w:rsid w:val="1A905C1E"/>
    <w:rsid w:val="1AF6D21E"/>
    <w:rsid w:val="1B4726BB"/>
    <w:rsid w:val="1B88C176"/>
    <w:rsid w:val="1BBF8FCD"/>
    <w:rsid w:val="1BBF8FCD"/>
    <w:rsid w:val="1C6B4ACC"/>
    <w:rsid w:val="1C8A5AC3"/>
    <w:rsid w:val="1C923CDD"/>
    <w:rsid w:val="1C946F06"/>
    <w:rsid w:val="1CD275E3"/>
    <w:rsid w:val="1D48F076"/>
    <w:rsid w:val="1E3943AE"/>
    <w:rsid w:val="1E92F81A"/>
    <w:rsid w:val="1EBFEF9C"/>
    <w:rsid w:val="1ED44E28"/>
    <w:rsid w:val="1EE7E874"/>
    <w:rsid w:val="1F07CFD3"/>
    <w:rsid w:val="1F1D742D"/>
    <w:rsid w:val="1FA2EB8E"/>
    <w:rsid w:val="1FA9FE8E"/>
    <w:rsid w:val="1FCC0FC8"/>
    <w:rsid w:val="2073804A"/>
    <w:rsid w:val="2083B8D5"/>
    <w:rsid w:val="20AFD6DE"/>
    <w:rsid w:val="210D0864"/>
    <w:rsid w:val="21EEB6E3"/>
    <w:rsid w:val="220BEEEA"/>
    <w:rsid w:val="221F8936"/>
    <w:rsid w:val="2301E403"/>
    <w:rsid w:val="236F2725"/>
    <w:rsid w:val="239D9360"/>
    <w:rsid w:val="23A7BF4B"/>
    <w:rsid w:val="23E58A2F"/>
    <w:rsid w:val="247747BD"/>
    <w:rsid w:val="24810CBE"/>
    <w:rsid w:val="24BFD003"/>
    <w:rsid w:val="25438FAC"/>
    <w:rsid w:val="25C2832A"/>
    <w:rsid w:val="25DC7804"/>
    <w:rsid w:val="261814AC"/>
    <w:rsid w:val="26306981"/>
    <w:rsid w:val="265D14EA"/>
    <w:rsid w:val="2667EB01"/>
    <w:rsid w:val="26CBCABC"/>
    <w:rsid w:val="272CCE29"/>
    <w:rsid w:val="27B3D615"/>
    <w:rsid w:val="27CD4B3C"/>
    <w:rsid w:val="27CD4FD4"/>
    <w:rsid w:val="27E5FFF9"/>
    <w:rsid w:val="2805B1BD"/>
    <w:rsid w:val="28B67DCE"/>
    <w:rsid w:val="28F2933C"/>
    <w:rsid w:val="291ACE1A"/>
    <w:rsid w:val="29A1821E"/>
    <w:rsid w:val="2BF041D0"/>
    <w:rsid w:val="2C808F8E"/>
    <w:rsid w:val="2D13AA84"/>
    <w:rsid w:val="2DE8BCCB"/>
    <w:rsid w:val="2E3CA722"/>
    <w:rsid w:val="2EFA149D"/>
    <w:rsid w:val="2F189FA6"/>
    <w:rsid w:val="2F611714"/>
    <w:rsid w:val="2FAB4BB3"/>
    <w:rsid w:val="2FD87783"/>
    <w:rsid w:val="2FDFB0CC"/>
    <w:rsid w:val="302827F5"/>
    <w:rsid w:val="30397061"/>
    <w:rsid w:val="305A91FC"/>
    <w:rsid w:val="30C8AB21"/>
    <w:rsid w:val="30CAAF55"/>
    <w:rsid w:val="318EF5C0"/>
    <w:rsid w:val="321A2C7A"/>
    <w:rsid w:val="32214AFB"/>
    <w:rsid w:val="3256D202"/>
    <w:rsid w:val="327ACB2D"/>
    <w:rsid w:val="32E237CA"/>
    <w:rsid w:val="33277728"/>
    <w:rsid w:val="3331E34D"/>
    <w:rsid w:val="3359A939"/>
    <w:rsid w:val="335FC8B7"/>
    <w:rsid w:val="33711123"/>
    <w:rsid w:val="34C69682"/>
    <w:rsid w:val="34D13386"/>
    <w:rsid w:val="3525D1B5"/>
    <w:rsid w:val="35B2A522"/>
    <w:rsid w:val="36380E16"/>
    <w:rsid w:val="363C7EF0"/>
    <w:rsid w:val="36E06B2C"/>
    <w:rsid w:val="37541655"/>
    <w:rsid w:val="37B2E666"/>
    <w:rsid w:val="38166869"/>
    <w:rsid w:val="396DC6BE"/>
    <w:rsid w:val="397F35FC"/>
    <w:rsid w:val="39C4790C"/>
    <w:rsid w:val="3AAED012"/>
    <w:rsid w:val="3AEC4FDC"/>
    <w:rsid w:val="3B3A7C99"/>
    <w:rsid w:val="3BE529A2"/>
    <w:rsid w:val="3CA801CE"/>
    <w:rsid w:val="3D98CFA4"/>
    <w:rsid w:val="3DE93EE2"/>
    <w:rsid w:val="3E348F96"/>
    <w:rsid w:val="3E52FA3D"/>
    <w:rsid w:val="3ED8FAFF"/>
    <w:rsid w:val="3F241A33"/>
    <w:rsid w:val="3F6554C4"/>
    <w:rsid w:val="3FCAD31F"/>
    <w:rsid w:val="40BFEA94"/>
    <w:rsid w:val="40CEF345"/>
    <w:rsid w:val="40F1D5AC"/>
    <w:rsid w:val="411DAD52"/>
    <w:rsid w:val="41210DB1"/>
    <w:rsid w:val="41308F52"/>
    <w:rsid w:val="416FEDBF"/>
    <w:rsid w:val="4225451F"/>
    <w:rsid w:val="426AC3A6"/>
    <w:rsid w:val="4353370C"/>
    <w:rsid w:val="442E02B1"/>
    <w:rsid w:val="44E59C22"/>
    <w:rsid w:val="44F7C043"/>
    <w:rsid w:val="450FA7FE"/>
    <w:rsid w:val="4604D6FD"/>
    <w:rsid w:val="461A5EAE"/>
    <w:rsid w:val="4687E276"/>
    <w:rsid w:val="468B1537"/>
    <w:rsid w:val="476252E2"/>
    <w:rsid w:val="4826E598"/>
    <w:rsid w:val="483EA40B"/>
    <w:rsid w:val="48B0C508"/>
    <w:rsid w:val="48C88225"/>
    <w:rsid w:val="48E09664"/>
    <w:rsid w:val="48F9553F"/>
    <w:rsid w:val="4939A257"/>
    <w:rsid w:val="4A01FA64"/>
    <w:rsid w:val="4A4E2143"/>
    <w:rsid w:val="4B2CCF2A"/>
    <w:rsid w:val="4C1D921F"/>
    <w:rsid w:val="4C307287"/>
    <w:rsid w:val="4D002560"/>
    <w:rsid w:val="4D8D54B6"/>
    <w:rsid w:val="4DAB6205"/>
    <w:rsid w:val="4E40393A"/>
    <w:rsid w:val="4F835605"/>
    <w:rsid w:val="505C1C69"/>
    <w:rsid w:val="511483B9"/>
    <w:rsid w:val="516A056A"/>
    <w:rsid w:val="52273911"/>
    <w:rsid w:val="52607830"/>
    <w:rsid w:val="527B3AD1"/>
    <w:rsid w:val="53347099"/>
    <w:rsid w:val="53B96CD8"/>
    <w:rsid w:val="53FD2C87"/>
    <w:rsid w:val="54648193"/>
    <w:rsid w:val="5520E38F"/>
    <w:rsid w:val="55441593"/>
    <w:rsid w:val="55824013"/>
    <w:rsid w:val="55B49BA9"/>
    <w:rsid w:val="569D4274"/>
    <w:rsid w:val="56C2B2CD"/>
    <w:rsid w:val="56D90D37"/>
    <w:rsid w:val="573D0826"/>
    <w:rsid w:val="5789D864"/>
    <w:rsid w:val="58191786"/>
    <w:rsid w:val="58C70E94"/>
    <w:rsid w:val="58F8167A"/>
    <w:rsid w:val="592156EB"/>
    <w:rsid w:val="59D4E336"/>
    <w:rsid w:val="5A20033C"/>
    <w:rsid w:val="5AB336F0"/>
    <w:rsid w:val="5B3D712F"/>
    <w:rsid w:val="5B59FB71"/>
    <w:rsid w:val="5B5AB9DC"/>
    <w:rsid w:val="5B90276E"/>
    <w:rsid w:val="5B9BC9EE"/>
    <w:rsid w:val="5C8E8925"/>
    <w:rsid w:val="5CF35B9B"/>
    <w:rsid w:val="5D59D54C"/>
    <w:rsid w:val="5DE4EDFD"/>
    <w:rsid w:val="5E8731A6"/>
    <w:rsid w:val="5E8F2BFC"/>
    <w:rsid w:val="5ED6AD1F"/>
    <w:rsid w:val="5F425592"/>
    <w:rsid w:val="5F4A51CD"/>
    <w:rsid w:val="5F86A813"/>
    <w:rsid w:val="602AFC5D"/>
    <w:rsid w:val="60786086"/>
    <w:rsid w:val="61A1AEFF"/>
    <w:rsid w:val="61B028B2"/>
    <w:rsid w:val="621DE5B5"/>
    <w:rsid w:val="62485B7E"/>
    <w:rsid w:val="62E1C000"/>
    <w:rsid w:val="62E608F4"/>
    <w:rsid w:val="62FC271F"/>
    <w:rsid w:val="63EE02E7"/>
    <w:rsid w:val="64713014"/>
    <w:rsid w:val="64AEF4CE"/>
    <w:rsid w:val="656E2203"/>
    <w:rsid w:val="6589D348"/>
    <w:rsid w:val="66CF2B16"/>
    <w:rsid w:val="6725A3A9"/>
    <w:rsid w:val="6726FBE3"/>
    <w:rsid w:val="672FE7F9"/>
    <w:rsid w:val="676D62A1"/>
    <w:rsid w:val="67917420"/>
    <w:rsid w:val="67AADE57"/>
    <w:rsid w:val="67CC7735"/>
    <w:rsid w:val="684302AB"/>
    <w:rsid w:val="69149F65"/>
    <w:rsid w:val="691F337F"/>
    <w:rsid w:val="69B9854E"/>
    <w:rsid w:val="6B100B73"/>
    <w:rsid w:val="6B23A535"/>
    <w:rsid w:val="6BB12F72"/>
    <w:rsid w:val="6CBFA76C"/>
    <w:rsid w:val="6CC29AA9"/>
    <w:rsid w:val="6D9222A6"/>
    <w:rsid w:val="6DAEE20F"/>
    <w:rsid w:val="6F7FEA5C"/>
    <w:rsid w:val="6FA02445"/>
    <w:rsid w:val="6FB0C32A"/>
    <w:rsid w:val="7097DAC2"/>
    <w:rsid w:val="71D95DC6"/>
    <w:rsid w:val="71F00F66"/>
    <w:rsid w:val="7226757C"/>
    <w:rsid w:val="722969D9"/>
    <w:rsid w:val="727FD909"/>
    <w:rsid w:val="739ADC88"/>
    <w:rsid w:val="7435D875"/>
    <w:rsid w:val="746C83DC"/>
    <w:rsid w:val="74CDDF2A"/>
    <w:rsid w:val="74CDDF2A"/>
    <w:rsid w:val="7536ACE9"/>
    <w:rsid w:val="7608543D"/>
    <w:rsid w:val="7611058F"/>
    <w:rsid w:val="77499787"/>
    <w:rsid w:val="780BAB83"/>
    <w:rsid w:val="781CFCD3"/>
    <w:rsid w:val="78695E3D"/>
    <w:rsid w:val="787C8EA3"/>
    <w:rsid w:val="794E244A"/>
    <w:rsid w:val="799EE00D"/>
    <w:rsid w:val="79A1A82A"/>
    <w:rsid w:val="79AFF8BB"/>
    <w:rsid w:val="79B2326A"/>
    <w:rsid w:val="79D2B4C4"/>
    <w:rsid w:val="7A2B0DBA"/>
    <w:rsid w:val="7AC61ACC"/>
    <w:rsid w:val="7BBA191A"/>
    <w:rsid w:val="7C8E2413"/>
    <w:rsid w:val="7DD152F8"/>
    <w:rsid w:val="7DE1922E"/>
    <w:rsid w:val="7DF44003"/>
    <w:rsid w:val="7EBB195A"/>
    <w:rsid w:val="7EF3EA72"/>
    <w:rsid w:val="7F362096"/>
    <w:rsid w:val="7F469574"/>
    <w:rsid w:val="7F4C0457"/>
    <w:rsid w:val="7F7E8FA1"/>
    <w:rsid w:val="7FBA52B8"/>
    <w:rsid w:val="7FD909B3"/>
    <w:rsid w:val="7FE091F7"/>
    <w:rsid w:val="7FE8E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9854E"/>
  <w15:chartTrackingRefBased/>
  <w15:docId w15:val="{D2113F02-40D0-4079-8ED1-44B094BF3C1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ce9b43b9d384986" /><Relationship Type="http://schemas.microsoft.com/office/2011/relationships/people" Target="people.xml" Id="R970852fd9a734e0e" /><Relationship Type="http://schemas.microsoft.com/office/2011/relationships/commentsExtended" Target="commentsExtended.xml" Id="Rb470b4e9435746ab" /><Relationship Type="http://schemas.microsoft.com/office/2016/09/relationships/commentsIds" Target="commentsIds.xml" Id="R306593f897914a5c" /><Relationship Type="http://schemas.openxmlformats.org/officeDocument/2006/relationships/hyperlink" Target="https://www.oclc.org/community/record_manager/RM-news.entry.html/2023/06/02/change_in_controllingannouncementforrecordmana-NzqO.en.html" TargetMode="External" Id="Re0bcebe9fd604c11" /><Relationship Type="http://schemas.openxmlformats.org/officeDocument/2006/relationships/header" Target="header.xml" Id="R1fe13f796fe746de" /><Relationship Type="http://schemas.openxmlformats.org/officeDocument/2006/relationships/footer" Target="footer.xml" Id="R5618d84f3cff43f7" /><Relationship Type="http://schemas.microsoft.com/office/2020/10/relationships/intelligence" Target="intelligence2.xml" Id="Rdffdd2ea82b143a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2023-05-30T13:52:15.2357980Z</dcterms:created>
  <dcterms:modified xsi:type="dcterms:W3CDTF">2023-06-06T19:16:31.1658849Z</dcterms:modified>
  <dc:creator>Phillips,Michael</dc:creator>
  <lastModifiedBy>Phillips,Michael</lastModifiedBy>
</coreProperties>
</file>