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1784E" w14:textId="415FDEAF" w:rsidR="00F8388B" w:rsidRPr="003F37A7" w:rsidRDefault="00DF6D6D">
      <w:pPr>
        <w:rPr>
          <w:rFonts w:ascii="TitilliumMaps26L" w:hAnsi="TitilliumMaps26L"/>
        </w:rPr>
      </w:pPr>
      <w:r>
        <w:rPr>
          <w:rFonts w:ascii="TitilliumMaps26L" w:hAnsi="TitilliumMaps26L"/>
        </w:rPr>
        <w:t>Senior Director, Donor Engagement &amp; Alumni Relations</w:t>
      </w:r>
      <w:r w:rsidR="001A5C9E">
        <w:rPr>
          <w:rFonts w:ascii="TitilliumMaps26L" w:hAnsi="TitilliumMaps26L"/>
        </w:rPr>
        <w:t>, CWRU College of Arts &amp; Sciences</w:t>
      </w:r>
      <w:r w:rsidR="003F37A7" w:rsidRPr="003F37A7">
        <w:rPr>
          <w:rFonts w:ascii="TitilliumMaps26L" w:hAnsi="TitilliumMaps26L"/>
        </w:rPr>
        <w:t xml:space="preserve"> (Job#</w:t>
      </w:r>
      <w:r>
        <w:rPr>
          <w:rFonts w:ascii="TitilliumMaps26L" w:hAnsi="TitilliumMaps26L"/>
        </w:rPr>
        <w:t>14029</w:t>
      </w:r>
      <w:r w:rsidR="003F37A7" w:rsidRPr="003F37A7">
        <w:rPr>
          <w:rFonts w:ascii="TitilliumMaps26L" w:hAnsi="TitilliumMaps26L"/>
        </w:rPr>
        <w:t>)</w:t>
      </w:r>
    </w:p>
    <w:p w14:paraId="5C8134C1" w14:textId="77777777" w:rsidR="003F37A7" w:rsidRPr="003F37A7" w:rsidRDefault="003F37A7">
      <w:pPr>
        <w:rPr>
          <w:rFonts w:ascii="TitilliumMaps26L" w:hAnsi="TitilliumMaps26L"/>
        </w:rPr>
      </w:pPr>
    </w:p>
    <w:p w14:paraId="09255625" w14:textId="77777777" w:rsidR="00DF6D6D" w:rsidRPr="00DF6D6D" w:rsidRDefault="00DF6D6D" w:rsidP="00DF6D6D">
      <w:pPr>
        <w:rPr>
          <w:rFonts w:ascii="TitilliumMaps26L" w:eastAsia="Times New Roman" w:hAnsi="TitilliumMaps26L" w:cs="Arial"/>
        </w:rPr>
      </w:pPr>
      <w:r w:rsidRPr="00DF6D6D">
        <w:rPr>
          <w:rFonts w:ascii="TitilliumMaps26L" w:eastAsia="Times New Roman" w:hAnsi="TitilliumMaps26L" w:cs="Arial"/>
        </w:rPr>
        <w:t xml:space="preserve">POSITION OBJECTIVE </w:t>
      </w:r>
    </w:p>
    <w:p w14:paraId="78667B91" w14:textId="77777777" w:rsidR="00DF6D6D" w:rsidRPr="00DF6D6D" w:rsidRDefault="00DF6D6D" w:rsidP="00DF6D6D">
      <w:pPr>
        <w:rPr>
          <w:rFonts w:ascii="TitilliumMaps26L" w:eastAsia="Times New Roman" w:hAnsi="TitilliumMaps26L" w:cs="Arial"/>
        </w:rPr>
      </w:pPr>
      <w:r w:rsidRPr="00DF6D6D">
        <w:rPr>
          <w:rFonts w:ascii="TitilliumMaps26L" w:eastAsia="Times New Roman" w:hAnsi="TitilliumMaps26L" w:cs="Arial"/>
        </w:rPr>
        <w:t xml:space="preserve">The Senior Director of Donor Engagement and Alumni Relations will provide the vision and leadership for developing and implementing a comprehensive donor and alumni engagement program that will provide meaningful opportunities for connection, recognition, service, and personal and professional development for donors, alumni, and key families/parents. The position’s major responsibility is the development of an overall “best in class” donor engagement program in the College of Arts and Sciences. The incumbent is charged with expanding and elevating these programs, defining related annual and long-term goals, creating strategies and actions that enable the college to reach, engage, and retain as many donors as possible through impactful and strategic communication, acknowledgement, engagement, recognition, stewardship, and reporting. The senior director will organize and direct the College’s stewardship of all major endowed funds of the College and supervise the Assistant Director of Alumni Engagement and Stewardship and the Annual Giving and Alumni Relations Coordinator in executing this and other functions. The senior director will create, oversee, and execute all Homecoming and Reunion activities including a Special Gifts Program for the 50th Reunion class; this will include managing a stewardship and engagement portfolio of 150+ top prospects/donors. These programs will enhance alumni and donor loyalty, dedication, and increase philanthropic support for the College of Arts and Sciences at Case Western Reserve University. Pairing data </w:t>
      </w:r>
      <w:proofErr w:type="gramStart"/>
      <w:r w:rsidRPr="00DF6D6D">
        <w:rPr>
          <w:rFonts w:ascii="TitilliumMaps26L" w:eastAsia="Times New Roman" w:hAnsi="TitilliumMaps26L" w:cs="Arial"/>
        </w:rPr>
        <w:t>driven</w:t>
      </w:r>
      <w:proofErr w:type="gramEnd"/>
      <w:r w:rsidRPr="00DF6D6D">
        <w:rPr>
          <w:rFonts w:ascii="TitilliumMaps26L" w:eastAsia="Times New Roman" w:hAnsi="TitilliumMaps26L" w:cs="Arial"/>
        </w:rPr>
        <w:t xml:space="preserve"> best practices with the art of relationship-based engagement, the senior director will use data and tracking infrastructure to generate valuable affinity intelligence, which will drive strategy and programming. </w:t>
      </w:r>
    </w:p>
    <w:p w14:paraId="0E9F5760" w14:textId="77777777" w:rsidR="00DF6D6D" w:rsidRPr="00DF6D6D" w:rsidRDefault="00DF6D6D" w:rsidP="00DF6D6D">
      <w:pPr>
        <w:rPr>
          <w:rFonts w:ascii="TitilliumMaps26L" w:eastAsia="Times New Roman" w:hAnsi="TitilliumMaps26L" w:cs="Arial"/>
        </w:rPr>
      </w:pPr>
      <w:r w:rsidRPr="00DF6D6D">
        <w:rPr>
          <w:rFonts w:ascii="TitilliumMaps26L" w:eastAsia="Times New Roman" w:hAnsi="TitilliumMaps26L" w:cs="Arial"/>
        </w:rPr>
        <w:t>As a member of the Development and External Relations leadership team, the senior director will work closely with the Dean of the College, the Vice Dean for Development and External Relations, the Executive Director, frontline fundraising staff, and other key university colleagues to recruit and retain new and existing donors through innovative strategic initiatives. The senior director will leverage current campus and community partnerships to increase opportunities for engagement and create new initiatives to foster collaboration among corporate, career, executive education, and workplace facing staff. The senior director will activate donor and alumni connections around interdisciplinary academic areas, multidisciplinary occupations, cross-functional initiatives, and social causes that align with college priorities. The senior director will facilitate a work environment that encourages knowledge of, respect for, and development of skills to engage with those of other cultures or backgrounds while supervising the assistant director of alumni engagement and stewardship, annual giving and alumni relations coordinator, and student employees.</w:t>
      </w:r>
    </w:p>
    <w:p w14:paraId="11E7AE5B" w14:textId="77777777" w:rsidR="00DF6D6D" w:rsidRPr="00DF6D6D" w:rsidRDefault="00DF6D6D" w:rsidP="00DF6D6D">
      <w:pPr>
        <w:rPr>
          <w:rFonts w:ascii="TitilliumMaps26L" w:eastAsia="Times New Roman" w:hAnsi="TitilliumMaps26L" w:cs="Arial"/>
        </w:rPr>
      </w:pPr>
    </w:p>
    <w:p w14:paraId="0018A08B" w14:textId="77777777" w:rsidR="00DF6D6D" w:rsidRPr="00DF6D6D" w:rsidRDefault="00DF6D6D" w:rsidP="00DF6D6D">
      <w:pPr>
        <w:rPr>
          <w:rFonts w:ascii="TitilliumMaps26L" w:eastAsia="Times New Roman" w:hAnsi="TitilliumMaps26L" w:cs="Arial"/>
        </w:rPr>
      </w:pPr>
      <w:r w:rsidRPr="00DF6D6D">
        <w:rPr>
          <w:rFonts w:ascii="TitilliumMaps26L" w:eastAsia="Times New Roman" w:hAnsi="TitilliumMaps26L" w:cs="Arial"/>
        </w:rPr>
        <w:t xml:space="preserve">ESSENTIAL FUNCTIONS </w:t>
      </w:r>
    </w:p>
    <w:p w14:paraId="4BD3B2E9" w14:textId="77777777" w:rsidR="00DF6D6D" w:rsidRPr="00DF6D6D" w:rsidRDefault="00DF6D6D" w:rsidP="00DF6D6D">
      <w:pPr>
        <w:numPr>
          <w:ilvl w:val="0"/>
          <w:numId w:val="6"/>
        </w:numPr>
        <w:rPr>
          <w:rFonts w:ascii="TitilliumMaps26L" w:eastAsia="Times New Roman" w:hAnsi="TitilliumMaps26L" w:cs="Arial"/>
        </w:rPr>
      </w:pPr>
      <w:r w:rsidRPr="00DF6D6D">
        <w:rPr>
          <w:rFonts w:ascii="TitilliumMaps26L" w:eastAsia="Times New Roman" w:hAnsi="TitilliumMaps26L" w:cs="Arial"/>
        </w:rPr>
        <w:t xml:space="preserve">Provide vision, direction, leadership, and oversight for all donor engagement activities of the college, including determining strategic direction for increasing donor acquisition, engagement, solicitation, and retention. Develop and execute signature strategic initiatives, including acknowledgement, event management, stewardship, and recognition efforts, that engage donors and raise the visibility of the college and university among constituents locally, nationally, and internationally. In partnership with other staff, utilize annual, special, and major giving strategies as part of an overall donor engagement strategy with particular focus on </w:t>
      </w:r>
      <w:r w:rsidRPr="00DF6D6D">
        <w:rPr>
          <w:rFonts w:ascii="TitilliumMaps26L" w:eastAsia="Times New Roman" w:hAnsi="TitilliumMaps26L" w:cs="Arial"/>
        </w:rPr>
        <w:lastRenderedPageBreak/>
        <w:t>reunion class giving. Oversee College recognition societies outreach and engagement, including planned giving and loyal donors. Supervise the Assistant Director of Donor Engagement and Alumni Relations and Annual Giving and Alumni Relations Coordinator. Collaborate with College of Arts and Sciences fundraising team to establish goals, objectives, and programmatic efforts to strengthen donor philanthropic engagement. (45%)</w:t>
      </w:r>
    </w:p>
    <w:p w14:paraId="13837A40" w14:textId="77777777" w:rsidR="00DF6D6D" w:rsidRPr="00DF6D6D" w:rsidRDefault="00DF6D6D" w:rsidP="00DF6D6D">
      <w:pPr>
        <w:numPr>
          <w:ilvl w:val="0"/>
          <w:numId w:val="6"/>
        </w:numPr>
        <w:rPr>
          <w:rFonts w:ascii="TitilliumMaps26L" w:eastAsia="Times New Roman" w:hAnsi="TitilliumMaps26L" w:cs="Arial"/>
        </w:rPr>
      </w:pPr>
      <w:r w:rsidRPr="00DF6D6D">
        <w:rPr>
          <w:rFonts w:ascii="TitilliumMaps26L" w:eastAsia="Times New Roman" w:hAnsi="TitilliumMaps26L" w:cs="Arial"/>
        </w:rPr>
        <w:t>Manage and direct the college’s alumni relations program in partnership with central University Development and Relations colleagues. Develop and execute activities and solicitation plans for the 50th Reunion and other alumni affinity groups through targeted segmentation (academic, departmental, special interest, professional affiliations, etc.). Identify and cultivate volunteer leadership, develop strategies for the success of alumni groups, and support their events and activities. Develop and coordinate the marketing efforts for alumni affinity program. Serve as the college’s liaison with the Alumni Association of Case Western Reserve University and collaborate to best serve the college’s alumni, donors, and friends. (10%)</w:t>
      </w:r>
    </w:p>
    <w:p w14:paraId="35F5B60D" w14:textId="77777777" w:rsidR="00DF6D6D" w:rsidRPr="00DF6D6D" w:rsidRDefault="00DF6D6D" w:rsidP="00DF6D6D">
      <w:pPr>
        <w:numPr>
          <w:ilvl w:val="0"/>
          <w:numId w:val="6"/>
        </w:numPr>
        <w:rPr>
          <w:rFonts w:ascii="TitilliumMaps26L" w:eastAsia="Times New Roman" w:hAnsi="TitilliumMaps26L" w:cs="Arial"/>
        </w:rPr>
      </w:pPr>
      <w:r w:rsidRPr="00DF6D6D">
        <w:rPr>
          <w:rFonts w:ascii="TitilliumMaps26L" w:eastAsia="Times New Roman" w:hAnsi="TitilliumMaps26L" w:cs="Arial"/>
        </w:rPr>
        <w:t>Engage donors and alumni in the life of the college and university through consistent and positive communication, exceptional customer service, and the creation of meaningful opportunities for recognition, volunteerism, service, personal and professional development, and events and programs. Develop and implement organizational and strategic communication plans that incorporate clear definition of goals, target audiences, and strategies in line with institutional goals. (10%)</w:t>
      </w:r>
    </w:p>
    <w:p w14:paraId="2E55F188" w14:textId="77777777" w:rsidR="00DF6D6D" w:rsidRPr="00DF6D6D" w:rsidRDefault="00DF6D6D" w:rsidP="00DF6D6D">
      <w:pPr>
        <w:numPr>
          <w:ilvl w:val="0"/>
          <w:numId w:val="6"/>
        </w:numPr>
        <w:rPr>
          <w:rFonts w:ascii="TitilliumMaps26L" w:eastAsia="Times New Roman" w:hAnsi="TitilliumMaps26L" w:cs="Arial"/>
        </w:rPr>
      </w:pPr>
      <w:r w:rsidRPr="00DF6D6D">
        <w:rPr>
          <w:rFonts w:ascii="TitilliumMaps26L" w:eastAsia="Times New Roman" w:hAnsi="TitilliumMaps26L" w:cs="Arial"/>
        </w:rPr>
        <w:t>Oversee, prepare, edit, proofread, and approve the creation of informational and promotional materials including highly customized correspondence, reports, newsletters, proposals, advertisements, and other personalized communications for top donors.  Serve as the development team’s principal liaison to University Marketing and Communications. (10%)</w:t>
      </w:r>
    </w:p>
    <w:p w14:paraId="321FBBF5" w14:textId="77777777" w:rsidR="00DF6D6D" w:rsidRPr="00DF6D6D" w:rsidRDefault="00DF6D6D" w:rsidP="00DF6D6D">
      <w:pPr>
        <w:rPr>
          <w:rFonts w:ascii="TitilliumMaps26L" w:eastAsia="Times New Roman" w:hAnsi="TitilliumMaps26L" w:cs="Arial"/>
        </w:rPr>
      </w:pPr>
    </w:p>
    <w:p w14:paraId="067A7FC6" w14:textId="77777777" w:rsidR="00DF6D6D" w:rsidRPr="00DF6D6D" w:rsidRDefault="00DF6D6D" w:rsidP="00DF6D6D">
      <w:pPr>
        <w:rPr>
          <w:rFonts w:ascii="TitilliumMaps26L" w:eastAsia="Times New Roman" w:hAnsi="TitilliumMaps26L" w:cs="Arial"/>
        </w:rPr>
      </w:pPr>
      <w:r w:rsidRPr="00DF6D6D">
        <w:rPr>
          <w:rFonts w:ascii="TitilliumMaps26L" w:eastAsia="Times New Roman" w:hAnsi="TitilliumMaps26L" w:cs="Arial"/>
        </w:rPr>
        <w:t>NONESSENTIAL FUNCTIONS</w:t>
      </w:r>
    </w:p>
    <w:p w14:paraId="24847346" w14:textId="77777777" w:rsidR="00DF6D6D" w:rsidRPr="00DF6D6D" w:rsidRDefault="00DF6D6D" w:rsidP="00DF6D6D">
      <w:pPr>
        <w:numPr>
          <w:ilvl w:val="0"/>
          <w:numId w:val="7"/>
        </w:numPr>
        <w:rPr>
          <w:rFonts w:ascii="TitilliumMaps26L" w:eastAsia="Times New Roman" w:hAnsi="TitilliumMaps26L" w:cs="Arial"/>
        </w:rPr>
      </w:pPr>
      <w:r w:rsidRPr="00DF6D6D">
        <w:rPr>
          <w:rFonts w:ascii="TitilliumMaps26L" w:eastAsia="Times New Roman" w:hAnsi="TitilliumMaps26L" w:cs="Arial"/>
        </w:rPr>
        <w:t>Develop and manage an effective volunteer management system that supports the objective of engaging donors and alumni, who have the capacity to make major gifts of $100,000 or more, in meaningful volunteer opportunities and serving as a source for donor and alumni talent and resources for students, faculty, and staff. (5%)</w:t>
      </w:r>
    </w:p>
    <w:p w14:paraId="0846FB95" w14:textId="77777777" w:rsidR="00DF6D6D" w:rsidRPr="00DF6D6D" w:rsidRDefault="00DF6D6D" w:rsidP="00DF6D6D">
      <w:pPr>
        <w:numPr>
          <w:ilvl w:val="0"/>
          <w:numId w:val="7"/>
        </w:numPr>
        <w:rPr>
          <w:rFonts w:ascii="TitilliumMaps26L" w:eastAsia="Times New Roman" w:hAnsi="TitilliumMaps26L" w:cs="Arial"/>
        </w:rPr>
      </w:pPr>
      <w:r w:rsidRPr="00DF6D6D">
        <w:rPr>
          <w:rFonts w:ascii="TitilliumMaps26L" w:eastAsia="Times New Roman" w:hAnsi="TitilliumMaps26L" w:cs="Arial"/>
        </w:rPr>
        <w:t>Create, select, and distribute awards that recognize outstanding alumni and young alumni achievement/engagement. Create new opportunities and programs for recognition and encompass social media and communications plans related to all awards and recognition. (5%)</w:t>
      </w:r>
    </w:p>
    <w:p w14:paraId="262E2A9E" w14:textId="77777777" w:rsidR="00DF6D6D" w:rsidRPr="00DF6D6D" w:rsidRDefault="00DF6D6D" w:rsidP="00DF6D6D">
      <w:pPr>
        <w:numPr>
          <w:ilvl w:val="0"/>
          <w:numId w:val="7"/>
        </w:numPr>
        <w:rPr>
          <w:rFonts w:ascii="TitilliumMaps26L" w:eastAsia="Times New Roman" w:hAnsi="TitilliumMaps26L" w:cs="Arial"/>
        </w:rPr>
      </w:pPr>
      <w:r w:rsidRPr="00DF6D6D">
        <w:rPr>
          <w:rFonts w:ascii="TitilliumMaps26L" w:eastAsia="Times New Roman" w:hAnsi="TitilliumMaps26L" w:cs="Arial"/>
        </w:rPr>
        <w:t>Develop and manage budgets for alumni related events and activities. Manage funds by planning, developing and exercising approval authority for expenditures. (5%)</w:t>
      </w:r>
    </w:p>
    <w:p w14:paraId="5425BEAC" w14:textId="77777777" w:rsidR="00DF6D6D" w:rsidRPr="00DF6D6D" w:rsidRDefault="00DF6D6D" w:rsidP="00DF6D6D">
      <w:pPr>
        <w:numPr>
          <w:ilvl w:val="0"/>
          <w:numId w:val="7"/>
        </w:numPr>
        <w:rPr>
          <w:rFonts w:ascii="TitilliumMaps26L" w:eastAsia="Times New Roman" w:hAnsi="TitilliumMaps26L" w:cs="Arial"/>
        </w:rPr>
      </w:pPr>
      <w:r w:rsidRPr="00DF6D6D">
        <w:rPr>
          <w:rFonts w:ascii="TitilliumMaps26L" w:eastAsia="Times New Roman" w:hAnsi="TitilliumMaps26L" w:cs="Arial"/>
        </w:rPr>
        <w:t>Develop and maintain positive collaborative relationships and programs with other university units, including university Alumni Relations, Admissions, Career Services, Parent and Family Programs, Athletics, Student Affairs, Residential and Greek Life, Undergraduate/Graduate Student Leadership, International Student Services, the Strategic Giving Office, academic departments, and Marketing/Communications units to expand current opportunities for donor and alumni engagement and create new opportunities where they do not currently exist. (5%)</w:t>
      </w:r>
    </w:p>
    <w:p w14:paraId="4710AD11" w14:textId="77777777" w:rsidR="00DF6D6D" w:rsidRPr="00DF6D6D" w:rsidRDefault="00DF6D6D" w:rsidP="00DF6D6D">
      <w:pPr>
        <w:numPr>
          <w:ilvl w:val="0"/>
          <w:numId w:val="7"/>
        </w:numPr>
        <w:rPr>
          <w:rFonts w:ascii="TitilliumMaps26L" w:eastAsia="Times New Roman" w:hAnsi="TitilliumMaps26L" w:cs="Arial"/>
        </w:rPr>
      </w:pPr>
      <w:r w:rsidRPr="00DF6D6D">
        <w:rPr>
          <w:rFonts w:ascii="TitilliumMaps26L" w:eastAsia="Times New Roman" w:hAnsi="TitilliumMaps26L" w:cs="Arial"/>
        </w:rPr>
        <w:t>Perform other duties and responsibilities as assigned by the dean of the college and the Vice Dean for development and external relations. (5%)</w:t>
      </w:r>
    </w:p>
    <w:p w14:paraId="65CC442F" w14:textId="77777777" w:rsidR="00DF6D6D" w:rsidRPr="00DF6D6D" w:rsidRDefault="00DF6D6D" w:rsidP="00DF6D6D">
      <w:pPr>
        <w:rPr>
          <w:rFonts w:ascii="TitilliumMaps26L" w:eastAsia="Times New Roman" w:hAnsi="TitilliumMaps26L" w:cs="Arial"/>
        </w:rPr>
      </w:pPr>
    </w:p>
    <w:p w14:paraId="6860A533" w14:textId="77777777" w:rsidR="00DF6D6D" w:rsidRPr="00DF6D6D" w:rsidRDefault="00DF6D6D" w:rsidP="00DF6D6D">
      <w:pPr>
        <w:rPr>
          <w:rFonts w:ascii="TitilliumMaps26L" w:eastAsia="Times New Roman" w:hAnsi="TitilliumMaps26L" w:cs="Arial"/>
        </w:rPr>
      </w:pPr>
      <w:r w:rsidRPr="00DF6D6D">
        <w:rPr>
          <w:rFonts w:ascii="TitilliumMaps26L" w:eastAsia="Times New Roman" w:hAnsi="TitilliumMaps26L" w:cs="Arial"/>
        </w:rPr>
        <w:t xml:space="preserve">CONTACTS </w:t>
      </w:r>
    </w:p>
    <w:p w14:paraId="5EAE8578" w14:textId="77777777" w:rsidR="00DF6D6D" w:rsidRPr="00DF6D6D" w:rsidRDefault="00DF6D6D" w:rsidP="00DF6D6D">
      <w:pPr>
        <w:rPr>
          <w:rFonts w:ascii="TitilliumMaps26L" w:eastAsia="Times New Roman" w:hAnsi="TitilliumMaps26L" w:cs="Arial"/>
        </w:rPr>
      </w:pPr>
      <w:r w:rsidRPr="00DF6D6D">
        <w:rPr>
          <w:rFonts w:ascii="TitilliumMaps26L" w:eastAsia="Times New Roman" w:hAnsi="TitilliumMaps26L" w:cs="Arial"/>
        </w:rPr>
        <w:t>Department: Daily contact with the dean, vice dean for development and external relations, executive director, and other University Relations and Development colleagues and the dean’s office to maintain workflow.</w:t>
      </w:r>
    </w:p>
    <w:p w14:paraId="684334AB" w14:textId="77777777" w:rsidR="00DF6D6D" w:rsidRPr="00DF6D6D" w:rsidRDefault="00DF6D6D" w:rsidP="00DF6D6D">
      <w:pPr>
        <w:rPr>
          <w:rFonts w:ascii="TitilliumMaps26L" w:eastAsia="Times New Roman" w:hAnsi="TitilliumMaps26L" w:cs="Arial"/>
        </w:rPr>
      </w:pPr>
      <w:r w:rsidRPr="00DF6D6D">
        <w:rPr>
          <w:rFonts w:ascii="TitilliumMaps26L" w:eastAsia="Times New Roman" w:hAnsi="TitilliumMaps26L" w:cs="Arial"/>
        </w:rPr>
        <w:t xml:space="preserve">University: Continuous contact with university trustees, College of Arts and Sciences visiting committee members, faculty, and staff to exchange information. </w:t>
      </w:r>
    </w:p>
    <w:p w14:paraId="7548696C" w14:textId="77777777" w:rsidR="00DF6D6D" w:rsidRPr="00DF6D6D" w:rsidRDefault="00DF6D6D" w:rsidP="00DF6D6D">
      <w:pPr>
        <w:rPr>
          <w:rFonts w:ascii="TitilliumMaps26L" w:eastAsia="Times New Roman" w:hAnsi="TitilliumMaps26L" w:cs="Arial"/>
        </w:rPr>
      </w:pPr>
      <w:r w:rsidRPr="00DF6D6D">
        <w:rPr>
          <w:rFonts w:ascii="TitilliumMaps26L" w:eastAsia="Times New Roman" w:hAnsi="TitilliumMaps26L" w:cs="Arial"/>
        </w:rPr>
        <w:t>External: Continuous contact with university with major donors to the college and university and alumni locally, nationally, and internationally to initiate and facilitate volunteer engagement at all levels, provide information and solicit donations as appropriate.</w:t>
      </w:r>
    </w:p>
    <w:p w14:paraId="76014440" w14:textId="77777777" w:rsidR="00DF6D6D" w:rsidRPr="00DF6D6D" w:rsidRDefault="00DF6D6D" w:rsidP="00DF6D6D">
      <w:pPr>
        <w:rPr>
          <w:rFonts w:ascii="TitilliumMaps26L" w:eastAsia="Times New Roman" w:hAnsi="TitilliumMaps26L" w:cs="Arial"/>
        </w:rPr>
      </w:pPr>
      <w:r w:rsidRPr="00DF6D6D">
        <w:rPr>
          <w:rFonts w:ascii="TitilliumMaps26L" w:eastAsia="Times New Roman" w:hAnsi="TitilliumMaps26L" w:cs="Arial"/>
        </w:rPr>
        <w:t>Students: Frequent contact with undergraduate and graduate students to exchange information.</w:t>
      </w:r>
    </w:p>
    <w:p w14:paraId="29A43A5F" w14:textId="77777777" w:rsidR="00DF6D6D" w:rsidRPr="00DF6D6D" w:rsidRDefault="00DF6D6D" w:rsidP="00DF6D6D">
      <w:pPr>
        <w:rPr>
          <w:rFonts w:ascii="TitilliumMaps26L" w:eastAsia="Times New Roman" w:hAnsi="TitilliumMaps26L" w:cs="Arial"/>
        </w:rPr>
      </w:pPr>
    </w:p>
    <w:p w14:paraId="1C601060" w14:textId="77777777" w:rsidR="00DF6D6D" w:rsidRPr="00DF6D6D" w:rsidRDefault="00DF6D6D" w:rsidP="00DF6D6D">
      <w:pPr>
        <w:rPr>
          <w:rFonts w:ascii="TitilliumMaps26L" w:eastAsia="Times New Roman" w:hAnsi="TitilliumMaps26L" w:cs="Arial"/>
        </w:rPr>
      </w:pPr>
      <w:r w:rsidRPr="00DF6D6D">
        <w:rPr>
          <w:rFonts w:ascii="TitilliumMaps26L" w:eastAsia="Times New Roman" w:hAnsi="TitilliumMaps26L" w:cs="Arial"/>
        </w:rPr>
        <w:t>SUPERVISORY RESPONSIBILITY</w:t>
      </w:r>
    </w:p>
    <w:p w14:paraId="2C60FFC1" w14:textId="77777777" w:rsidR="00DF6D6D" w:rsidRPr="00DF6D6D" w:rsidRDefault="00DF6D6D" w:rsidP="00DF6D6D">
      <w:pPr>
        <w:rPr>
          <w:rFonts w:ascii="TitilliumMaps26L" w:eastAsia="Times New Roman" w:hAnsi="TitilliumMaps26L" w:cs="Arial"/>
        </w:rPr>
      </w:pPr>
      <w:r w:rsidRPr="00DF6D6D">
        <w:rPr>
          <w:rFonts w:ascii="TitilliumMaps26L" w:eastAsia="Times New Roman" w:hAnsi="TitilliumMaps26L" w:cs="Arial"/>
        </w:rPr>
        <w:t xml:space="preserve">Will directly supervise assistant director of alumni engagement and stewardship and annual giving and alumni relations coordinator as well as student employees. </w:t>
      </w:r>
    </w:p>
    <w:p w14:paraId="20405087" w14:textId="77777777" w:rsidR="00DF6D6D" w:rsidRPr="00DF6D6D" w:rsidRDefault="00DF6D6D" w:rsidP="00DF6D6D">
      <w:pPr>
        <w:rPr>
          <w:rFonts w:ascii="TitilliumMaps26L" w:eastAsia="Times New Roman" w:hAnsi="TitilliumMaps26L" w:cs="Arial"/>
        </w:rPr>
      </w:pPr>
    </w:p>
    <w:p w14:paraId="5E5E1479" w14:textId="77777777" w:rsidR="00DF6D6D" w:rsidRPr="00DF6D6D" w:rsidRDefault="00DF6D6D" w:rsidP="00DF6D6D">
      <w:pPr>
        <w:rPr>
          <w:rFonts w:ascii="TitilliumMaps26L" w:eastAsia="Times New Roman" w:hAnsi="TitilliumMaps26L" w:cs="Arial"/>
        </w:rPr>
      </w:pPr>
      <w:r w:rsidRPr="00DF6D6D">
        <w:rPr>
          <w:rFonts w:ascii="TitilliumMaps26L" w:eastAsia="Times New Roman" w:hAnsi="TitilliumMaps26L" w:cs="Arial"/>
        </w:rPr>
        <w:t>QUALIFICATIONS</w:t>
      </w:r>
    </w:p>
    <w:p w14:paraId="5A444018" w14:textId="77777777" w:rsidR="00DF6D6D" w:rsidRPr="00DF6D6D" w:rsidRDefault="00DF6D6D" w:rsidP="00DF6D6D">
      <w:pPr>
        <w:rPr>
          <w:rFonts w:ascii="TitilliumMaps26L" w:eastAsia="Times New Roman" w:hAnsi="TitilliumMaps26L" w:cs="Arial"/>
        </w:rPr>
      </w:pPr>
      <w:r w:rsidRPr="00DF6D6D">
        <w:rPr>
          <w:rFonts w:ascii="TitilliumMaps26L" w:eastAsia="Times New Roman" w:hAnsi="TitilliumMaps26L" w:cs="Arial"/>
        </w:rPr>
        <w:t xml:space="preserve">Experience: 7 or more years of successful, progressive experience in alumni and donor relations or related fields, including demonstrable creativity, strong communication and writing skills, and effectiveness is required. A record of increasing revenue and engagement through outreach activities and/or financial commitment rates is required. 5 or more years of experience managing staff preferred. </w:t>
      </w:r>
    </w:p>
    <w:p w14:paraId="075BC645" w14:textId="77777777" w:rsidR="00DF6D6D" w:rsidRPr="00DF6D6D" w:rsidRDefault="00DF6D6D" w:rsidP="00DF6D6D">
      <w:pPr>
        <w:rPr>
          <w:rFonts w:ascii="TitilliumMaps26L" w:eastAsia="Times New Roman" w:hAnsi="TitilliumMaps26L" w:cs="Arial"/>
        </w:rPr>
      </w:pPr>
      <w:r w:rsidRPr="00DF6D6D">
        <w:rPr>
          <w:rFonts w:ascii="TitilliumMaps26L" w:eastAsia="Times New Roman" w:hAnsi="TitilliumMaps26L" w:cs="Arial"/>
        </w:rPr>
        <w:t xml:space="preserve">Education/Licensing: Bachelor’s degree required; </w:t>
      </w:r>
      <w:proofErr w:type="gramStart"/>
      <w:r w:rsidRPr="00DF6D6D">
        <w:rPr>
          <w:rFonts w:ascii="TitilliumMaps26L" w:eastAsia="Times New Roman" w:hAnsi="TitilliumMaps26L" w:cs="Arial"/>
        </w:rPr>
        <w:t>Master’s degree in business</w:t>
      </w:r>
      <w:proofErr w:type="gramEnd"/>
      <w:r w:rsidRPr="00DF6D6D">
        <w:rPr>
          <w:rFonts w:ascii="TitilliumMaps26L" w:eastAsia="Times New Roman" w:hAnsi="TitilliumMaps26L" w:cs="Arial"/>
        </w:rPr>
        <w:t xml:space="preserve">/strategic planning is strongly desired. </w:t>
      </w:r>
    </w:p>
    <w:p w14:paraId="66D1E79B" w14:textId="77777777" w:rsidR="00DF6D6D" w:rsidRPr="00DF6D6D" w:rsidRDefault="00DF6D6D" w:rsidP="00DF6D6D">
      <w:pPr>
        <w:rPr>
          <w:rFonts w:ascii="TitilliumMaps26L" w:eastAsia="Times New Roman" w:hAnsi="TitilliumMaps26L" w:cs="Arial"/>
        </w:rPr>
      </w:pPr>
    </w:p>
    <w:p w14:paraId="1DAF1B66" w14:textId="77777777" w:rsidR="00DF6D6D" w:rsidRPr="00DF6D6D" w:rsidRDefault="00DF6D6D" w:rsidP="00DF6D6D">
      <w:pPr>
        <w:rPr>
          <w:rFonts w:ascii="TitilliumMaps26L" w:eastAsia="Times New Roman" w:hAnsi="TitilliumMaps26L" w:cs="Arial"/>
        </w:rPr>
      </w:pPr>
      <w:r w:rsidRPr="00DF6D6D">
        <w:rPr>
          <w:rFonts w:ascii="TitilliumMaps26L" w:eastAsia="Times New Roman" w:hAnsi="TitilliumMaps26L" w:cs="Arial"/>
        </w:rPr>
        <w:t>REQUIRED SKILLS</w:t>
      </w:r>
    </w:p>
    <w:p w14:paraId="61BAD5B8" w14:textId="77777777" w:rsidR="00DF6D6D" w:rsidRPr="00DF6D6D" w:rsidRDefault="00DF6D6D" w:rsidP="00DF6D6D">
      <w:pPr>
        <w:numPr>
          <w:ilvl w:val="0"/>
          <w:numId w:val="8"/>
        </w:numPr>
        <w:rPr>
          <w:rFonts w:ascii="TitilliumMaps26L" w:eastAsia="Times New Roman" w:hAnsi="TitilliumMaps26L" w:cs="Arial"/>
        </w:rPr>
      </w:pPr>
      <w:r w:rsidRPr="00DF6D6D">
        <w:rPr>
          <w:rFonts w:ascii="TitilliumMaps26L" w:eastAsia="Times New Roman" w:hAnsi="TitilliumMaps26L" w:cs="Arial"/>
        </w:rPr>
        <w:t xml:space="preserve">Demonstrated experience in creating and implementing a fundamental plan for establishment of engagement and fundraising priorities and strategy and execution of the cultivation and solicitation, negotiation, finalization of proposals and follow through, while providing leadership to the Development team. Demonstrated ability to partner in the cultivation and solicitation of major gifts of $100,000 and above. </w:t>
      </w:r>
    </w:p>
    <w:p w14:paraId="57A5E07D" w14:textId="77777777" w:rsidR="00DF6D6D" w:rsidRPr="00DF6D6D" w:rsidRDefault="00DF6D6D" w:rsidP="00DF6D6D">
      <w:pPr>
        <w:numPr>
          <w:ilvl w:val="0"/>
          <w:numId w:val="8"/>
        </w:numPr>
        <w:rPr>
          <w:rFonts w:ascii="TitilliumMaps26L" w:eastAsia="Times New Roman" w:hAnsi="TitilliumMaps26L" w:cs="Arial"/>
        </w:rPr>
      </w:pPr>
      <w:r w:rsidRPr="00DF6D6D">
        <w:rPr>
          <w:rFonts w:ascii="TitilliumMaps26L" w:eastAsia="Times New Roman" w:hAnsi="TitilliumMaps26L" w:cs="Arial"/>
        </w:rPr>
        <w:t>Strong verbal and written communication skills are required, with public speaking skills preferred; excellent interpersonal skills are required. Ability to develop and prepare error-free written communications is essential and a key competency for the role. Demonstrated ability in motivating volunteers is required; the ability to develop knowledge of, respect for, and skills to engage with those of other cultures or backgrounds is required.</w:t>
      </w:r>
    </w:p>
    <w:p w14:paraId="11A203CA" w14:textId="77777777" w:rsidR="00DF6D6D" w:rsidRPr="00DF6D6D" w:rsidRDefault="00DF6D6D" w:rsidP="00DF6D6D">
      <w:pPr>
        <w:numPr>
          <w:ilvl w:val="0"/>
          <w:numId w:val="8"/>
        </w:numPr>
        <w:rPr>
          <w:rFonts w:ascii="TitilliumMaps26L" w:eastAsia="Times New Roman" w:hAnsi="TitilliumMaps26L" w:cs="Arial"/>
        </w:rPr>
      </w:pPr>
      <w:r w:rsidRPr="00DF6D6D">
        <w:rPr>
          <w:rFonts w:ascii="TitilliumMaps26L" w:eastAsia="Times New Roman" w:hAnsi="TitilliumMaps26L" w:cs="Arial"/>
        </w:rPr>
        <w:t xml:space="preserve">High level of attention to detail. </w:t>
      </w:r>
    </w:p>
    <w:p w14:paraId="0F7810D6" w14:textId="77777777" w:rsidR="00DF6D6D" w:rsidRPr="00DF6D6D" w:rsidRDefault="00DF6D6D" w:rsidP="00DF6D6D">
      <w:pPr>
        <w:numPr>
          <w:ilvl w:val="0"/>
          <w:numId w:val="8"/>
        </w:numPr>
        <w:rPr>
          <w:rFonts w:ascii="TitilliumMaps26L" w:eastAsia="Times New Roman" w:hAnsi="TitilliumMaps26L" w:cs="Arial"/>
        </w:rPr>
      </w:pPr>
      <w:r w:rsidRPr="00DF6D6D">
        <w:rPr>
          <w:rFonts w:ascii="TitilliumMaps26L" w:eastAsia="Times New Roman" w:hAnsi="TitilliumMaps26L" w:cs="Arial"/>
        </w:rPr>
        <w:lastRenderedPageBreak/>
        <w:t xml:space="preserve">Demonstrated knowledge, accountability, and comprehension skills for formulating budgetary planning and prioritization of projects, programs and activities, using sound judgement while meeting organizational goals. </w:t>
      </w:r>
    </w:p>
    <w:p w14:paraId="0C2A9AEA" w14:textId="77777777" w:rsidR="00DF6D6D" w:rsidRPr="00DF6D6D" w:rsidRDefault="00DF6D6D" w:rsidP="00DF6D6D">
      <w:pPr>
        <w:numPr>
          <w:ilvl w:val="0"/>
          <w:numId w:val="8"/>
        </w:numPr>
        <w:rPr>
          <w:rFonts w:ascii="TitilliumMaps26L" w:eastAsia="Times New Roman" w:hAnsi="TitilliumMaps26L" w:cs="Arial"/>
        </w:rPr>
      </w:pPr>
      <w:r w:rsidRPr="00DF6D6D">
        <w:rPr>
          <w:rFonts w:ascii="TitilliumMaps26L" w:eastAsia="Times New Roman" w:hAnsi="TitilliumMaps26L" w:cs="Arial"/>
        </w:rPr>
        <w:t>Computer literacy, particularly in word processing and using databases, is preferred.</w:t>
      </w:r>
    </w:p>
    <w:p w14:paraId="5985CD30" w14:textId="77777777" w:rsidR="00DF6D6D" w:rsidRPr="00DF6D6D" w:rsidRDefault="00DF6D6D" w:rsidP="00DF6D6D">
      <w:pPr>
        <w:numPr>
          <w:ilvl w:val="0"/>
          <w:numId w:val="8"/>
        </w:numPr>
        <w:rPr>
          <w:rFonts w:ascii="TitilliumMaps26L" w:eastAsia="Times New Roman" w:hAnsi="TitilliumMaps26L" w:cs="Arial"/>
        </w:rPr>
      </w:pPr>
      <w:r w:rsidRPr="00DF6D6D">
        <w:rPr>
          <w:rFonts w:ascii="TitilliumMaps26L" w:eastAsia="Times New Roman" w:hAnsi="TitilliumMaps26L" w:cs="Arial"/>
        </w:rPr>
        <w:t>Demonstrated history of successful support, education, and advocacy for all students, aligned with the values, mission, and messaging of the university, while adhering to the staff policy on conflict of commitment and interest.</w:t>
      </w:r>
    </w:p>
    <w:p w14:paraId="7D1D7D88" w14:textId="77777777" w:rsidR="00DF6D6D" w:rsidRPr="00DF6D6D" w:rsidRDefault="00DF6D6D" w:rsidP="00DF6D6D">
      <w:pPr>
        <w:numPr>
          <w:ilvl w:val="0"/>
          <w:numId w:val="8"/>
        </w:numPr>
        <w:rPr>
          <w:rFonts w:ascii="TitilliumMaps26L" w:eastAsia="Times New Roman" w:hAnsi="TitilliumMaps26L" w:cs="Arial"/>
        </w:rPr>
      </w:pPr>
      <w:r w:rsidRPr="00DF6D6D">
        <w:rPr>
          <w:rFonts w:ascii="TitilliumMaps26L" w:eastAsia="Times New Roman" w:hAnsi="TitilliumMaps26L" w:cs="Arial"/>
        </w:rPr>
        <w:t xml:space="preserve">Ability to meet consistent attendance. </w:t>
      </w:r>
    </w:p>
    <w:p w14:paraId="6F65B51A" w14:textId="77777777" w:rsidR="00DF6D6D" w:rsidRPr="00DF6D6D" w:rsidRDefault="00DF6D6D" w:rsidP="00DF6D6D">
      <w:pPr>
        <w:numPr>
          <w:ilvl w:val="0"/>
          <w:numId w:val="8"/>
        </w:numPr>
        <w:rPr>
          <w:rFonts w:ascii="TitilliumMaps26L" w:eastAsia="Times New Roman" w:hAnsi="TitilliumMaps26L" w:cs="Arial"/>
        </w:rPr>
      </w:pPr>
      <w:r w:rsidRPr="00DF6D6D">
        <w:rPr>
          <w:rFonts w:ascii="TitilliumMaps26L" w:eastAsia="Times New Roman" w:hAnsi="TitilliumMaps26L" w:cs="Arial"/>
        </w:rPr>
        <w:t xml:space="preserve">Ability to interact with colleagues, supervisors, and customers face to face. </w:t>
      </w:r>
    </w:p>
    <w:p w14:paraId="2BE19976" w14:textId="77777777" w:rsidR="00DF6D6D" w:rsidRPr="00DF6D6D" w:rsidRDefault="00DF6D6D" w:rsidP="00DF6D6D">
      <w:pPr>
        <w:rPr>
          <w:rFonts w:ascii="TitilliumMaps26L" w:eastAsia="Times New Roman" w:hAnsi="TitilliumMaps26L" w:cs="Arial"/>
        </w:rPr>
      </w:pPr>
    </w:p>
    <w:p w14:paraId="08C916D1" w14:textId="77777777" w:rsidR="00DF6D6D" w:rsidRPr="00DF6D6D" w:rsidRDefault="00DF6D6D" w:rsidP="00DF6D6D">
      <w:pPr>
        <w:rPr>
          <w:rFonts w:ascii="TitilliumMaps26L" w:eastAsia="Times New Roman" w:hAnsi="TitilliumMaps26L" w:cs="Arial"/>
        </w:rPr>
      </w:pPr>
      <w:r w:rsidRPr="00DF6D6D">
        <w:rPr>
          <w:rFonts w:ascii="TitilliumMaps26L" w:eastAsia="Times New Roman" w:hAnsi="TitilliumMaps26L" w:cs="Arial"/>
        </w:rPr>
        <w:t>WORKING CONDITIONS</w:t>
      </w:r>
    </w:p>
    <w:p w14:paraId="257D0653" w14:textId="77777777" w:rsidR="00DF6D6D" w:rsidRPr="00DF6D6D" w:rsidRDefault="00DF6D6D" w:rsidP="00DF6D6D">
      <w:pPr>
        <w:rPr>
          <w:rFonts w:ascii="TitilliumMaps26L" w:eastAsia="Times New Roman" w:hAnsi="TitilliumMaps26L" w:cs="Arial"/>
        </w:rPr>
      </w:pPr>
      <w:r w:rsidRPr="00DF6D6D">
        <w:rPr>
          <w:rFonts w:ascii="TitilliumMaps26L" w:eastAsia="Times New Roman" w:hAnsi="TitilliumMaps26L" w:cs="Arial"/>
        </w:rPr>
        <w:t>General office working environment. Job frequently requires travel and attendance at evening and/or weekend activities, meetings, events, seminars, and workshops.</w:t>
      </w:r>
      <w:r w:rsidRPr="00DF6D6D">
        <w:rPr>
          <w:rFonts w:ascii="Calibri" w:eastAsia="Times New Roman" w:hAnsi="Calibri" w:cs="Calibri"/>
        </w:rPr>
        <w:t> </w:t>
      </w:r>
      <w:r w:rsidRPr="00DF6D6D">
        <w:rPr>
          <w:rFonts w:ascii="TitilliumMaps26L" w:eastAsia="Times New Roman" w:hAnsi="TitilliumMaps26L" w:cs="Arial"/>
        </w:rPr>
        <w:t>This position is eligible for the staff hybrid work program.</w:t>
      </w:r>
    </w:p>
    <w:p w14:paraId="5992B27E" w14:textId="77777777" w:rsidR="001A5C9E" w:rsidRPr="001A5C9E" w:rsidRDefault="001A5C9E" w:rsidP="001A5C9E">
      <w:pPr>
        <w:rPr>
          <w:rFonts w:ascii="TitilliumMaps26L" w:eastAsia="Times New Roman" w:hAnsi="TitilliumMaps26L" w:cs="Arial"/>
        </w:rPr>
      </w:pPr>
    </w:p>
    <w:p w14:paraId="0A27EAE8" w14:textId="3797C4DD" w:rsidR="003F37A7" w:rsidRDefault="001A5C9E">
      <w:pPr>
        <w:rPr>
          <w:rFonts w:ascii="TitilliumMaps26L" w:hAnsi="TitilliumMaps26L"/>
        </w:rPr>
      </w:pPr>
      <w:r>
        <w:rPr>
          <w:rFonts w:ascii="TitilliumMaps26L" w:hAnsi="TitilliumMaps26L"/>
        </w:rPr>
        <w:t>HYBRID ELIGIBILTY</w:t>
      </w:r>
    </w:p>
    <w:p w14:paraId="37D9C2AF" w14:textId="632926E4" w:rsidR="001A5C9E" w:rsidRDefault="001A5C9E">
      <w:pPr>
        <w:rPr>
          <w:rFonts w:ascii="TitilliumMaps26L" w:hAnsi="TitilliumMaps26L"/>
        </w:rPr>
      </w:pPr>
      <w:r w:rsidRPr="001A5C9E">
        <w:rPr>
          <w:rFonts w:ascii="TitilliumMaps26L" w:hAnsi="TitilliumMaps26L"/>
        </w:rPr>
        <w:t>This position is eligible for hybrid work arrangement up to two remote days per week at the discretion of the department. New employees may begin a hybrid schedule upon approval from the supervisor, successful completion of an orientation period and signing the remote work checklist certification form.</w:t>
      </w:r>
    </w:p>
    <w:p w14:paraId="48367957" w14:textId="77777777" w:rsidR="001A5C9E" w:rsidRDefault="001A5C9E">
      <w:pPr>
        <w:rPr>
          <w:rFonts w:ascii="TitilliumMaps26L" w:hAnsi="TitilliumMaps26L"/>
        </w:rPr>
      </w:pPr>
    </w:p>
    <w:p w14:paraId="4718FB58" w14:textId="64161B26" w:rsidR="001A5C9E" w:rsidRDefault="001A5C9E">
      <w:pPr>
        <w:rPr>
          <w:rFonts w:ascii="TitilliumMaps26L" w:hAnsi="TitilliumMaps26L"/>
        </w:rPr>
      </w:pPr>
      <w:r>
        <w:rPr>
          <w:rFonts w:ascii="TitilliumMaps26L" w:hAnsi="TitilliumMaps26L"/>
        </w:rPr>
        <w:t>SALARY INFORMATION</w:t>
      </w:r>
    </w:p>
    <w:p w14:paraId="35B9B3F1" w14:textId="49636099" w:rsidR="001A5C9E" w:rsidRPr="001A5C9E" w:rsidRDefault="001A5C9E" w:rsidP="001A5C9E">
      <w:pPr>
        <w:rPr>
          <w:rFonts w:ascii="TitilliumMaps26L" w:hAnsi="TitilliumMaps26L"/>
        </w:rPr>
      </w:pPr>
      <w:r w:rsidRPr="001A5C9E">
        <w:rPr>
          <w:rFonts w:ascii="TitilliumMaps26L" w:hAnsi="TitilliumMaps26L"/>
        </w:rPr>
        <w:t xml:space="preserve">Case Western Reserve University is committed to providing a transparent estimate of the salary range available for this position at the time of its posting. The </w:t>
      </w:r>
      <w:r>
        <w:rPr>
          <w:rFonts w:ascii="TitilliumMaps26L" w:hAnsi="TitilliumMaps26L"/>
        </w:rPr>
        <w:t xml:space="preserve">targeted </w:t>
      </w:r>
      <w:r w:rsidRPr="001A5C9E">
        <w:rPr>
          <w:rFonts w:ascii="TitilliumMaps26L" w:hAnsi="TitilliumMaps26L"/>
        </w:rPr>
        <w:t xml:space="preserve">salary range is between </w:t>
      </w:r>
      <w:r w:rsidR="00DF6D6D" w:rsidRPr="00DF6D6D">
        <w:rPr>
          <w:rFonts w:ascii="TitilliumMaps26L" w:hAnsi="TitilliumMaps26L"/>
        </w:rPr>
        <w:t>$71,041 and $89,867</w:t>
      </w:r>
      <w:r w:rsidRPr="001A5C9E">
        <w:rPr>
          <w:rFonts w:ascii="TitilliumMaps26L" w:hAnsi="TitilliumMaps26L"/>
        </w:rPr>
        <w:t>, depending on qualifications, experience, department budgets, and industry data.</w:t>
      </w:r>
      <w:r w:rsidRPr="001A5C9E">
        <w:rPr>
          <w:rFonts w:ascii="Calibri" w:hAnsi="Calibri" w:cs="Calibri"/>
        </w:rPr>
        <w:t> </w:t>
      </w:r>
    </w:p>
    <w:p w14:paraId="3038E870" w14:textId="77777777" w:rsidR="001A5C9E" w:rsidRPr="001A5C9E" w:rsidRDefault="001A5C9E" w:rsidP="001A5C9E">
      <w:pPr>
        <w:rPr>
          <w:rFonts w:ascii="TitilliumMaps26L" w:hAnsi="TitilliumMaps26L"/>
        </w:rPr>
      </w:pPr>
      <w:r w:rsidRPr="001A5C9E">
        <w:rPr>
          <w:rFonts w:ascii="TitilliumMaps26L" w:hAnsi="TitilliumMaps26L"/>
        </w:rPr>
        <w:t xml:space="preserve">Employees receive more than just a paycheck. University employees enjoy a comprehensive benefits package that includes excellent healthcare, retirement plans, tuition assistance, paid time off, and </w:t>
      </w:r>
      <w:proofErr w:type="gramStart"/>
      <w:r w:rsidRPr="001A5C9E">
        <w:rPr>
          <w:rFonts w:ascii="TitilliumMaps26L" w:hAnsi="TitilliumMaps26L"/>
        </w:rPr>
        <w:t>a winter</w:t>
      </w:r>
      <w:proofErr w:type="gramEnd"/>
      <w:r w:rsidRPr="001A5C9E">
        <w:rPr>
          <w:rFonts w:ascii="TitilliumMaps26L" w:hAnsi="TitilliumMaps26L"/>
        </w:rPr>
        <w:t xml:space="preserve"> recess.</w:t>
      </w:r>
    </w:p>
    <w:p w14:paraId="418E526B" w14:textId="77777777" w:rsidR="001A5C9E" w:rsidRPr="003F37A7" w:rsidRDefault="001A5C9E">
      <w:pPr>
        <w:rPr>
          <w:rFonts w:ascii="TitilliumMaps26L" w:hAnsi="TitilliumMaps26L"/>
        </w:rPr>
      </w:pPr>
    </w:p>
    <w:p w14:paraId="386B6A06" w14:textId="39FCAFAB" w:rsidR="003F37A7" w:rsidRPr="003F37A7" w:rsidRDefault="001A5C9E" w:rsidP="003F37A7">
      <w:pPr>
        <w:rPr>
          <w:rFonts w:ascii="TitilliumMaps26L" w:hAnsi="TitilliumMaps26L"/>
        </w:rPr>
      </w:pPr>
      <w:r>
        <w:rPr>
          <w:rFonts w:ascii="TitilliumMaps26L" w:hAnsi="TitilliumMaps26L"/>
        </w:rPr>
        <w:t>EEO</w:t>
      </w:r>
      <w:r w:rsidR="003F37A7" w:rsidRPr="003F37A7">
        <w:rPr>
          <w:rFonts w:ascii="TitilliumMaps26L" w:hAnsi="TitilliumMaps26L"/>
        </w:rPr>
        <w:t xml:space="preserve"> STATEMENT</w:t>
      </w:r>
    </w:p>
    <w:p w14:paraId="2A889F71" w14:textId="69AAB71A" w:rsidR="003F37A7" w:rsidRDefault="001A5C9E" w:rsidP="003F37A7">
      <w:pPr>
        <w:rPr>
          <w:rFonts w:ascii="TitilliumMaps26L" w:eastAsia="Times New Roman" w:hAnsi="TitilliumMaps26L" w:cs="Arial"/>
          <w:color w:val="000000"/>
        </w:rPr>
      </w:pPr>
      <w:r w:rsidRPr="001A5C9E">
        <w:rPr>
          <w:rFonts w:ascii="TitilliumMaps26L" w:eastAsia="Times New Roman" w:hAnsi="TitilliumMaps26L" w:cs="Arial"/>
          <w:color w:val="000000"/>
        </w:rPr>
        <w:t xml:space="preserve">Case Western Reserve University is an equal opportunity employer. </w:t>
      </w:r>
      <w:r w:rsidRPr="001A5C9E">
        <w:rPr>
          <w:rFonts w:ascii="Calibri" w:eastAsia="Times New Roman" w:hAnsi="Calibri" w:cs="Calibri"/>
          <w:color w:val="000000"/>
        </w:rPr>
        <w:t> </w:t>
      </w:r>
      <w:r w:rsidRPr="001A5C9E">
        <w:rPr>
          <w:rFonts w:ascii="TitilliumMaps26L" w:eastAsia="Times New Roman" w:hAnsi="TitilliumMaps26L" w:cs="Arial"/>
          <w:color w:val="000000"/>
        </w:rPr>
        <w:t>All applicants are protected under federal and state laws and university policy from discrimination based on race, color, religion, sex, sexual orientation, gender identity or expression, national or ethnic origin, protected veteran status, disability, age and genetic information.</w:t>
      </w:r>
    </w:p>
    <w:p w14:paraId="3267CDFF" w14:textId="77777777" w:rsidR="001A5C9E" w:rsidRPr="003F37A7" w:rsidRDefault="001A5C9E" w:rsidP="003F37A7">
      <w:pPr>
        <w:rPr>
          <w:rFonts w:ascii="TitilliumMaps26L" w:eastAsia="Times New Roman" w:hAnsi="TitilliumMaps26L" w:cs="Arial"/>
          <w:color w:val="000000"/>
        </w:rPr>
      </w:pPr>
    </w:p>
    <w:p w14:paraId="56597D0E" w14:textId="77777777" w:rsidR="003F37A7" w:rsidRPr="003F37A7" w:rsidRDefault="003F37A7" w:rsidP="003F37A7">
      <w:pPr>
        <w:rPr>
          <w:rFonts w:ascii="TitilliumMaps26L" w:eastAsia="Times New Roman" w:hAnsi="TitilliumMaps26L" w:cs="Arial"/>
          <w:color w:val="000000"/>
        </w:rPr>
      </w:pPr>
      <w:r w:rsidRPr="003F37A7">
        <w:rPr>
          <w:rFonts w:ascii="TitilliumMaps26L" w:eastAsia="Times New Roman" w:hAnsi="TitilliumMaps26L" w:cs="Arial"/>
          <w:color w:val="000000"/>
        </w:rPr>
        <w:t>REASONABLE ACCOMMODATION</w:t>
      </w:r>
    </w:p>
    <w:p w14:paraId="421F551B" w14:textId="77777777" w:rsidR="003F37A7" w:rsidRDefault="003F37A7" w:rsidP="003F37A7">
      <w:pPr>
        <w:rPr>
          <w:rFonts w:ascii="TitilliumMaps26L" w:eastAsia="Times New Roman" w:hAnsi="TitilliumMaps26L" w:cs="Arial"/>
          <w:color w:val="000000"/>
        </w:rPr>
      </w:pPr>
      <w:r w:rsidRPr="003F37A7">
        <w:rPr>
          <w:rFonts w:ascii="TitilliumMaps26L" w:eastAsia="Times New Roman" w:hAnsi="TitilliumMaps26L" w:cs="Arial"/>
          <w:color w:val="000000"/>
        </w:rPr>
        <w:lastRenderedPageBreak/>
        <w:t>Case Western Reserve University provides reasonable accommodations to applicants with disabilities.</w:t>
      </w:r>
      <w:r w:rsidRPr="003F37A7">
        <w:rPr>
          <w:rFonts w:ascii="Calibri" w:eastAsia="Times New Roman" w:hAnsi="Calibri" w:cs="Calibri"/>
          <w:color w:val="000000"/>
        </w:rPr>
        <w:t> </w:t>
      </w:r>
      <w:r w:rsidRPr="003F37A7">
        <w:rPr>
          <w:rFonts w:ascii="TitilliumMaps26L" w:eastAsia="Times New Roman" w:hAnsi="TitilliumMaps26L" w:cs="Arial"/>
          <w:color w:val="000000"/>
        </w:rPr>
        <w:t xml:space="preserve"> Applicants requiring a reasonable accommodation for any part of the application and hiring process should contact the Office of Equity at 216-368-3066 to request a reasonable accommodation.</w:t>
      </w:r>
      <w:r w:rsidRPr="003F37A7">
        <w:rPr>
          <w:rFonts w:ascii="Calibri" w:eastAsia="Times New Roman" w:hAnsi="Calibri" w:cs="Calibri"/>
          <w:color w:val="000000"/>
        </w:rPr>
        <w:t> </w:t>
      </w:r>
      <w:r w:rsidRPr="003F37A7">
        <w:rPr>
          <w:rFonts w:ascii="TitilliumMaps26L" w:eastAsia="Times New Roman" w:hAnsi="TitilliumMaps26L" w:cs="Arial"/>
          <w:color w:val="000000"/>
        </w:rPr>
        <w:t xml:space="preserve"> Determinations as to granting reasonable accommodations for any applicant will be made on a case-by-case basis.</w:t>
      </w:r>
    </w:p>
    <w:p w14:paraId="4710D08A" w14:textId="77777777" w:rsidR="00024AA3" w:rsidRDefault="00024AA3" w:rsidP="003F37A7">
      <w:pPr>
        <w:rPr>
          <w:rFonts w:ascii="TitilliumMaps26L" w:eastAsia="Times New Roman" w:hAnsi="TitilliumMaps26L" w:cs="Arial"/>
          <w:color w:val="000000"/>
        </w:rPr>
      </w:pPr>
    </w:p>
    <w:p w14:paraId="07A532CE" w14:textId="77777777" w:rsidR="003F37A7" w:rsidRPr="003F37A7" w:rsidRDefault="003F37A7" w:rsidP="003F37A7">
      <w:pPr>
        <w:rPr>
          <w:rFonts w:ascii="TitilliumMaps26L" w:eastAsia="Times New Roman" w:hAnsi="TitilliumMaps26L" w:cs="Arial"/>
          <w:color w:val="000000"/>
        </w:rPr>
      </w:pPr>
      <w:r w:rsidRPr="003F37A7">
        <w:rPr>
          <w:rFonts w:ascii="TitilliumMaps26L" w:eastAsia="Times New Roman" w:hAnsi="TitilliumMaps26L" w:cs="Arial"/>
          <w:color w:val="000000"/>
        </w:rPr>
        <w:t>APPLY ONLINE</w:t>
      </w:r>
    </w:p>
    <w:p w14:paraId="679AAE39" w14:textId="5023E47F" w:rsidR="003F37A7" w:rsidRDefault="003F37A7">
      <w:pPr>
        <w:rPr>
          <w:rFonts w:ascii="TitilliumMaps26L" w:hAnsi="TitilliumMaps26L"/>
        </w:rPr>
      </w:pPr>
      <w:r w:rsidRPr="003F37A7">
        <w:rPr>
          <w:rFonts w:ascii="TitilliumMaps26L" w:hAnsi="TitilliumMaps26L"/>
        </w:rPr>
        <w:t xml:space="preserve">We invite interested, qualified applicants to browse our website at jobs.case.edu for job ID </w:t>
      </w:r>
      <w:r w:rsidR="00DF6D6D">
        <w:rPr>
          <w:rFonts w:ascii="TitilliumMaps26L" w:hAnsi="TitilliumMaps26L"/>
        </w:rPr>
        <w:t>14029</w:t>
      </w:r>
      <w:r w:rsidRPr="003F37A7">
        <w:rPr>
          <w:rFonts w:ascii="TitilliumMaps26L" w:hAnsi="TitilliumMaps26L"/>
        </w:rPr>
        <w:t>.</w:t>
      </w:r>
      <w:r w:rsidR="00DA6E44">
        <w:rPr>
          <w:rFonts w:ascii="TitilliumMaps26L" w:hAnsi="TitilliumMaps26L"/>
        </w:rPr>
        <w:t xml:space="preserve"> </w:t>
      </w:r>
      <w:r w:rsidR="00AD56E5">
        <w:rPr>
          <w:rFonts w:ascii="TitilliumMaps26L" w:hAnsi="TitilliumMaps26L"/>
        </w:rPr>
        <w:t>Direct job link…</w:t>
      </w:r>
    </w:p>
    <w:p w14:paraId="3F6539A6" w14:textId="37A42D15" w:rsidR="00AD56E5" w:rsidRPr="003F37A7" w:rsidRDefault="00DF6D6D" w:rsidP="00DF6D6D">
      <w:pPr>
        <w:rPr>
          <w:rFonts w:ascii="TitilliumMaps26L" w:hAnsi="TitilliumMaps26L"/>
        </w:rPr>
      </w:pPr>
      <w:r w:rsidRPr="00DF6D6D">
        <w:rPr>
          <w:rFonts w:ascii="TitilliumMaps26L" w:hAnsi="TitilliumMaps26L"/>
        </w:rPr>
        <w:t>https://employment.case.edu/psc/ERECRUIT/EMPLOYEE/HRMS/c/HRS_HRAM_FL.HRS_CG_SEARCH_FL.GBL?Page=HRS_APP_SCHJOB_FL&amp;Action=U</w:t>
      </w:r>
    </w:p>
    <w:sectPr w:rsidR="00AD56E5" w:rsidRPr="003F37A7" w:rsidSect="00AD56E5">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Maps26L">
    <w:panose1 w:val="00000000000000000000"/>
    <w:charset w:val="00"/>
    <w:family w:val="modern"/>
    <w:notTrueType/>
    <w:pitch w:val="variable"/>
    <w:sig w:usb0="A00000EF" w:usb1="0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A583F"/>
    <w:multiLevelType w:val="hybridMultilevel"/>
    <w:tmpl w:val="80AA83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BE3624B"/>
    <w:multiLevelType w:val="hybridMultilevel"/>
    <w:tmpl w:val="5358EB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36A2110E"/>
    <w:multiLevelType w:val="multilevel"/>
    <w:tmpl w:val="17C67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7A23EA"/>
    <w:multiLevelType w:val="multilevel"/>
    <w:tmpl w:val="239C7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075EE8"/>
    <w:multiLevelType w:val="multilevel"/>
    <w:tmpl w:val="5CCC9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5F6D6E"/>
    <w:multiLevelType w:val="multilevel"/>
    <w:tmpl w:val="A8FAF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90472F"/>
    <w:multiLevelType w:val="multilevel"/>
    <w:tmpl w:val="3B242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7B7C60"/>
    <w:multiLevelType w:val="hybridMultilevel"/>
    <w:tmpl w:val="7EFAD9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275669824">
    <w:abstractNumId w:val="6"/>
  </w:num>
  <w:num w:numId="2" w16cid:durableId="437481004">
    <w:abstractNumId w:val="4"/>
  </w:num>
  <w:num w:numId="3" w16cid:durableId="1713771622">
    <w:abstractNumId w:val="3"/>
  </w:num>
  <w:num w:numId="4" w16cid:durableId="1865023542">
    <w:abstractNumId w:val="2"/>
  </w:num>
  <w:num w:numId="5" w16cid:durableId="1910191364">
    <w:abstractNumId w:val="5"/>
  </w:num>
  <w:num w:numId="6" w16cid:durableId="8408933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6977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07975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7A7"/>
    <w:rsid w:val="0000588B"/>
    <w:rsid w:val="00024AA3"/>
    <w:rsid w:val="001A5C9E"/>
    <w:rsid w:val="002A1803"/>
    <w:rsid w:val="003F37A7"/>
    <w:rsid w:val="00807321"/>
    <w:rsid w:val="009A2F3B"/>
    <w:rsid w:val="00A85C54"/>
    <w:rsid w:val="00AD56E5"/>
    <w:rsid w:val="00CB5F63"/>
    <w:rsid w:val="00DA6E44"/>
    <w:rsid w:val="00DF6D6D"/>
    <w:rsid w:val="00F83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6830B"/>
  <w15:chartTrackingRefBased/>
  <w15:docId w15:val="{9D8CC55A-F4D4-4655-BE39-6175BEDA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37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9622">
      <w:bodyDiv w:val="1"/>
      <w:marLeft w:val="0"/>
      <w:marRight w:val="0"/>
      <w:marTop w:val="0"/>
      <w:marBottom w:val="0"/>
      <w:divBdr>
        <w:top w:val="none" w:sz="0" w:space="0" w:color="auto"/>
        <w:left w:val="none" w:sz="0" w:space="0" w:color="auto"/>
        <w:bottom w:val="none" w:sz="0" w:space="0" w:color="auto"/>
        <w:right w:val="none" w:sz="0" w:space="0" w:color="auto"/>
      </w:divBdr>
    </w:div>
    <w:div w:id="173617409">
      <w:bodyDiv w:val="1"/>
      <w:marLeft w:val="0"/>
      <w:marRight w:val="0"/>
      <w:marTop w:val="0"/>
      <w:marBottom w:val="0"/>
      <w:divBdr>
        <w:top w:val="none" w:sz="0" w:space="0" w:color="auto"/>
        <w:left w:val="none" w:sz="0" w:space="0" w:color="auto"/>
        <w:bottom w:val="none" w:sz="0" w:space="0" w:color="auto"/>
        <w:right w:val="none" w:sz="0" w:space="0" w:color="auto"/>
      </w:divBdr>
    </w:div>
    <w:div w:id="287399385">
      <w:bodyDiv w:val="1"/>
      <w:marLeft w:val="0"/>
      <w:marRight w:val="0"/>
      <w:marTop w:val="0"/>
      <w:marBottom w:val="0"/>
      <w:divBdr>
        <w:top w:val="none" w:sz="0" w:space="0" w:color="auto"/>
        <w:left w:val="none" w:sz="0" w:space="0" w:color="auto"/>
        <w:bottom w:val="none" w:sz="0" w:space="0" w:color="auto"/>
        <w:right w:val="none" w:sz="0" w:space="0" w:color="auto"/>
      </w:divBdr>
    </w:div>
    <w:div w:id="774330647">
      <w:bodyDiv w:val="1"/>
      <w:marLeft w:val="0"/>
      <w:marRight w:val="0"/>
      <w:marTop w:val="0"/>
      <w:marBottom w:val="0"/>
      <w:divBdr>
        <w:top w:val="none" w:sz="0" w:space="0" w:color="auto"/>
        <w:left w:val="none" w:sz="0" w:space="0" w:color="auto"/>
        <w:bottom w:val="none" w:sz="0" w:space="0" w:color="auto"/>
        <w:right w:val="none" w:sz="0" w:space="0" w:color="auto"/>
      </w:divBdr>
    </w:div>
    <w:div w:id="889802404">
      <w:bodyDiv w:val="1"/>
      <w:marLeft w:val="0"/>
      <w:marRight w:val="0"/>
      <w:marTop w:val="0"/>
      <w:marBottom w:val="0"/>
      <w:divBdr>
        <w:top w:val="none" w:sz="0" w:space="0" w:color="auto"/>
        <w:left w:val="none" w:sz="0" w:space="0" w:color="auto"/>
        <w:bottom w:val="none" w:sz="0" w:space="0" w:color="auto"/>
        <w:right w:val="none" w:sz="0" w:space="0" w:color="auto"/>
      </w:divBdr>
    </w:div>
    <w:div w:id="1425226507">
      <w:bodyDiv w:val="1"/>
      <w:marLeft w:val="0"/>
      <w:marRight w:val="0"/>
      <w:marTop w:val="0"/>
      <w:marBottom w:val="0"/>
      <w:divBdr>
        <w:top w:val="none" w:sz="0" w:space="0" w:color="auto"/>
        <w:left w:val="none" w:sz="0" w:space="0" w:color="auto"/>
        <w:bottom w:val="none" w:sz="0" w:space="0" w:color="auto"/>
        <w:right w:val="none" w:sz="0" w:space="0" w:color="auto"/>
      </w:divBdr>
    </w:div>
    <w:div w:id="146435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1661</Words>
  <Characters>10701</Characters>
  <Application>Microsoft Office Word</Application>
  <DocSecurity>0</DocSecurity>
  <Lines>205</Lines>
  <Paragraphs>95</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Karma Topor</dc:creator>
  <cp:keywords/>
  <dc:description/>
  <cp:lastModifiedBy>Karma Topor</cp:lastModifiedBy>
  <cp:revision>2</cp:revision>
  <dcterms:created xsi:type="dcterms:W3CDTF">2025-10-13T20:04:00Z</dcterms:created>
  <dcterms:modified xsi:type="dcterms:W3CDTF">2025-10-13T20:04:00Z</dcterms:modified>
</cp:coreProperties>
</file>