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C6430">
      <w:pPr>
        <w:rPr>
          <w:rFonts w:hint="default"/>
          <w:lang w:val="en-US" w:eastAsia="zh-CN"/>
        </w:rPr>
      </w:pPr>
      <w:r>
        <w:rPr>
          <w:rFonts w:hint="default"/>
          <w:lang w:val="en-US" w:eastAsia="zh-CN"/>
        </w:rPr>
        <w:t>Chief of Institutional Advancement</w:t>
      </w:r>
    </w:p>
    <w:p w14:paraId="6CB97B23">
      <w:pPr>
        <w:rPr>
          <w:rFonts w:hint="default"/>
          <w:lang w:val="en-US" w:eastAsia="zh-CN"/>
        </w:rPr>
      </w:pPr>
    </w:p>
    <w:p w14:paraId="1B4B2DB8">
      <w:pPr>
        <w:rPr>
          <w:rFonts w:hint="default"/>
          <w:lang w:val="en-US" w:eastAsia="zh-CN"/>
        </w:rPr>
      </w:pPr>
    </w:p>
    <w:p w14:paraId="5054A748">
      <w:pPr>
        <w:rPr>
          <w:rFonts w:hint="default"/>
          <w:lang w:val="en-US" w:eastAsia="zh-CN"/>
        </w:rPr>
      </w:pPr>
      <w:r>
        <w:rPr>
          <w:rFonts w:hint="default"/>
          <w:lang w:val="en-US" w:eastAsia="zh-CN"/>
        </w:rPr>
        <w:t>The Centers seeks a strategic and relationship-driven Chief of Institutional Advancement to lead philanthropic growth and strengthen the organization's engagement across Northeast Ohio.</w:t>
      </w:r>
    </w:p>
    <w:p w14:paraId="2CF5EABE">
      <w:pPr>
        <w:rPr>
          <w:rFonts w:hint="default"/>
          <w:lang w:val="en-US" w:eastAsia="zh-CN"/>
        </w:rPr>
      </w:pPr>
      <w:r>
        <w:rPr>
          <w:rFonts w:hint="default"/>
          <w:lang w:val="en-US" w:eastAsia="zh-CN"/>
        </w:rPr>
        <w:t>As a member of the senior leadership team, the Chief will lead an integrated advancement function encompassing fundraising, marketing and communications, community relations, government affairs, and external engag</w:t>
      </w:r>
      <w:bookmarkStart w:id="0" w:name="_GoBack"/>
      <w:bookmarkEnd w:id="0"/>
      <w:r>
        <w:rPr>
          <w:rFonts w:hint="default"/>
          <w:lang w:val="en-US" w:eastAsia="zh-CN"/>
        </w:rPr>
        <w:t>ement. A key priority will be expanding The Centers' individual major gifts program while deepening relationships with foundations, corporations, government partners, and other stakeholders.</w:t>
      </w:r>
    </w:p>
    <w:p w14:paraId="5B89976D">
      <w:pPr>
        <w:rPr>
          <w:rFonts w:hint="default"/>
          <w:lang w:val="en-US" w:eastAsia="zh-CN"/>
        </w:rPr>
      </w:pPr>
    </w:p>
    <w:p w14:paraId="4B45EC04">
      <w:pPr>
        <w:rPr>
          <w:rFonts w:hint="default"/>
          <w:lang w:val="en-US" w:eastAsia="zh-CN"/>
        </w:rPr>
      </w:pPr>
      <w:r>
        <w:rPr>
          <w:rFonts w:hint="default"/>
          <w:lang w:val="en-US" w:eastAsia="zh-CN"/>
        </w:rPr>
        <w:t>Key Responsibilities</w:t>
      </w:r>
    </w:p>
    <w:p w14:paraId="3B6D1D2B">
      <w:pPr>
        <w:rPr>
          <w:rFonts w:hint="default"/>
          <w:lang w:val="en-US" w:eastAsia="zh-CN"/>
        </w:rPr>
      </w:pPr>
    </w:p>
    <w:p w14:paraId="6410C35B">
      <w:pPr>
        <w:rPr>
          <w:rFonts w:hint="default"/>
          <w:lang w:val="en-US" w:eastAsia="zh-CN"/>
        </w:rPr>
      </w:pPr>
      <w:r>
        <w:rPr>
          <w:rFonts w:hint="default"/>
          <w:lang w:val="en-US" w:eastAsia="zh-CN"/>
        </w:rPr>
        <w:t>- Expand and strengthen the individual major gifts program</w:t>
      </w:r>
    </w:p>
    <w:p w14:paraId="34777606">
      <w:pPr>
        <w:rPr>
          <w:rFonts w:hint="default"/>
          <w:lang w:val="en-US" w:eastAsia="zh-CN"/>
        </w:rPr>
      </w:pPr>
      <w:r>
        <w:rPr>
          <w:rFonts w:hint="default"/>
          <w:lang w:val="en-US" w:eastAsia="zh-CN"/>
        </w:rPr>
        <w:t>- Develop strategies to grow philanthropic support for existing and new programs</w:t>
      </w:r>
    </w:p>
    <w:p w14:paraId="365EEBA6">
      <w:pPr>
        <w:rPr>
          <w:rFonts w:hint="default"/>
          <w:lang w:val="en-US" w:eastAsia="zh-CN"/>
        </w:rPr>
      </w:pPr>
      <w:r>
        <w:rPr>
          <w:rFonts w:hint="default"/>
          <w:lang w:val="en-US" w:eastAsia="zh-CN"/>
        </w:rPr>
        <w:t>- Lead fundraising, marketing and communications, community relations, and external affairs</w:t>
      </w:r>
    </w:p>
    <w:p w14:paraId="6622DA46">
      <w:pPr>
        <w:rPr>
          <w:rFonts w:hint="default"/>
          <w:lang w:val="en-US" w:eastAsia="zh-CN"/>
        </w:rPr>
      </w:pPr>
      <w:r>
        <w:rPr>
          <w:rFonts w:hint="default"/>
          <w:lang w:val="en-US" w:eastAsia="zh-CN"/>
        </w:rPr>
        <w:t>- Cultivate relationships with donors, foundations, corporations, public officials, and community partners</w:t>
      </w:r>
    </w:p>
    <w:p w14:paraId="71CB4E2B">
      <w:pPr>
        <w:rPr>
          <w:rFonts w:hint="default"/>
          <w:lang w:val="en-US" w:eastAsia="zh-CN"/>
        </w:rPr>
      </w:pPr>
      <w:r>
        <w:rPr>
          <w:rFonts w:hint="default"/>
          <w:lang w:val="en-US" w:eastAsia="zh-CN"/>
        </w:rPr>
        <w:t>- Partner with the CEO, Board, and senior leadership to advance organizational priorities</w:t>
      </w:r>
    </w:p>
    <w:p w14:paraId="25D334D5">
      <w:pPr>
        <w:rPr>
          <w:rFonts w:hint="default"/>
          <w:lang w:val="en-US" w:eastAsia="zh-CN"/>
        </w:rPr>
      </w:pPr>
    </w:p>
    <w:p w14:paraId="59C8122B">
      <w:pPr>
        <w:rPr>
          <w:rFonts w:hint="default"/>
          <w:lang w:val="en-US" w:eastAsia="zh-CN"/>
        </w:rPr>
      </w:pPr>
      <w:r>
        <w:rPr>
          <w:rFonts w:hint="default"/>
          <w:lang w:val="en-US" w:eastAsia="zh-CN"/>
        </w:rPr>
        <w:t>Qualifications</w:t>
      </w:r>
    </w:p>
    <w:p w14:paraId="2BDF1907">
      <w:pPr>
        <w:rPr>
          <w:rFonts w:hint="default"/>
          <w:lang w:val="en-US" w:eastAsia="zh-CN"/>
        </w:rPr>
      </w:pPr>
    </w:p>
    <w:p w14:paraId="7A5A5E75">
      <w:pPr>
        <w:rPr>
          <w:rFonts w:hint="default"/>
          <w:lang w:val="en-US" w:eastAsia="zh-CN"/>
        </w:rPr>
      </w:pPr>
      <w:r>
        <w:rPr>
          <w:rFonts w:hint="default"/>
          <w:lang w:val="en-US" w:eastAsia="zh-CN"/>
        </w:rPr>
        <w:t>- Demonstrated leadership and successful execution of fundraising and external relations efforts</w:t>
      </w:r>
    </w:p>
    <w:p w14:paraId="650A3921">
      <w:pPr>
        <w:rPr>
          <w:rFonts w:hint="default"/>
          <w:lang w:val="en-US" w:eastAsia="zh-CN"/>
        </w:rPr>
      </w:pPr>
      <w:r>
        <w:rPr>
          <w:rFonts w:hint="default"/>
          <w:lang w:val="en-US" w:eastAsia="zh-CN"/>
        </w:rPr>
        <w:t>- Direct experience leading individual major gifts fundraising</w:t>
      </w:r>
    </w:p>
    <w:p w14:paraId="3CA55EC9">
      <w:pPr>
        <w:rPr>
          <w:rFonts w:hint="default"/>
          <w:lang w:val="en-US" w:eastAsia="zh-CN"/>
        </w:rPr>
      </w:pPr>
      <w:r>
        <w:rPr>
          <w:rFonts w:hint="default"/>
          <w:lang w:val="en-US" w:eastAsia="zh-CN"/>
        </w:rPr>
        <w:t>- Strong relationship-building skills with donors, Board members, and community and institutional partners</w:t>
      </w:r>
    </w:p>
    <w:p w14:paraId="4ECF2806">
      <w:pPr>
        <w:rPr>
          <w:rFonts w:hint="default"/>
          <w:lang w:val="en-US" w:eastAsia="zh-CN"/>
        </w:rPr>
      </w:pPr>
      <w:r>
        <w:rPr>
          <w:rFonts w:hint="default"/>
          <w:lang w:val="en-US" w:eastAsia="zh-CN"/>
        </w:rPr>
        <w:t>- Experience providing strategic leadership to an advancement team</w:t>
      </w:r>
    </w:p>
    <w:p w14:paraId="40C4ADCB">
      <w:pPr>
        <w:rPr>
          <w:rFonts w:hint="default"/>
          <w:lang w:val="en-US" w:eastAsia="zh-CN"/>
        </w:rPr>
      </w:pPr>
      <w:r>
        <w:rPr>
          <w:rFonts w:hint="default"/>
          <w:lang w:val="en-US" w:eastAsia="zh-CN"/>
        </w:rPr>
        <w:t>- Bachelor's degree required; master's degree preferred</w:t>
      </w:r>
    </w:p>
    <w:p w14:paraId="5D5C1C99">
      <w:pPr>
        <w:rPr>
          <w:rFonts w:hint="default"/>
          <w:lang w:val="en-US" w:eastAsia="zh-CN"/>
        </w:rPr>
      </w:pPr>
    </w:p>
    <w:p w14:paraId="70260EE7">
      <w:pPr>
        <w:rPr>
          <w:rFonts w:hint="default"/>
          <w:lang w:val="en-US" w:eastAsia="zh-CN"/>
        </w:rPr>
      </w:pPr>
      <w:r>
        <w:rPr>
          <w:rFonts w:hint="default"/>
          <w:lang w:val="en-US" w:eastAsia="zh-CN"/>
        </w:rPr>
        <w:t>Compensation</w:t>
      </w:r>
    </w:p>
    <w:p w14:paraId="28E03B8A">
      <w:pPr>
        <w:rPr>
          <w:rFonts w:hint="default"/>
          <w:lang w:val="en-US" w:eastAsia="zh-CN"/>
        </w:rPr>
      </w:pPr>
    </w:p>
    <w:p w14:paraId="769BEA92">
      <w:pPr>
        <w:rPr>
          <w:rFonts w:hint="default"/>
          <w:lang w:val="en-US" w:eastAsia="zh-CN"/>
        </w:rPr>
      </w:pPr>
      <w:r>
        <w:rPr>
          <w:rFonts w:hint="default"/>
          <w:lang w:val="en-US" w:eastAsia="zh-CN"/>
        </w:rPr>
        <w:t>The salary range for this role is $185,000–$210,000.</w:t>
      </w:r>
    </w:p>
    <w:p w14:paraId="464A61F4">
      <w:pPr>
        <w:rPr>
          <w:rFonts w:hint="default"/>
          <w:lang w:val="en-US" w:eastAsia="zh-CN"/>
        </w:rPr>
      </w:pPr>
    </w:p>
    <w:p w14:paraId="27569DD6">
      <w:pPr>
        <w:rPr>
          <w:rFonts w:hint="default"/>
          <w:lang w:val="en-US" w:eastAsia="zh-CN"/>
        </w:rPr>
      </w:pPr>
      <w:r>
        <w:rPr>
          <w:rFonts w:hint="default"/>
          <w:lang w:val="en-US" w:eastAsia="zh-CN"/>
        </w:rPr>
        <w:t>About The Centers</w:t>
      </w:r>
    </w:p>
    <w:p w14:paraId="19F3CF9A">
      <w:pPr>
        <w:rPr>
          <w:rFonts w:hint="default"/>
          <w:lang w:val="en-US" w:eastAsia="zh-CN"/>
        </w:rPr>
      </w:pPr>
    </w:p>
    <w:p w14:paraId="10F38C78">
      <w:pPr>
        <w:rPr>
          <w:rFonts w:hint="default"/>
          <w:lang w:val="en-US" w:eastAsia="zh-CN"/>
        </w:rPr>
      </w:pPr>
      <w:r>
        <w:rPr>
          <w:rFonts w:hint="default"/>
          <w:lang w:val="en-US" w:eastAsia="zh-CN"/>
        </w:rPr>
        <w:t>The Centers is one of Northeast Ohio's leading nonprofit human services organizations, advancing a mission to fight for healthy communities through healing, teaching, and inspiring individuals and families to reach their full potential. Its comprehensive approach connects people with resources and support that address interconnected needs and create lasting change.</w:t>
      </w:r>
    </w:p>
    <w:p w14:paraId="77896536">
      <w:pPr>
        <w:rPr>
          <w:rFonts w:hint="default"/>
          <w:lang w:val="en-US" w:eastAsia="zh-CN"/>
        </w:rPr>
      </w:pPr>
    </w:p>
    <w:p w14:paraId="537466EB">
      <w:pPr>
        <w:rPr>
          <w:rFonts w:hint="default"/>
          <w:lang w:val="en-US" w:eastAsia="zh-CN"/>
        </w:rPr>
      </w:pPr>
      <w:r>
        <w:rPr>
          <w:rFonts w:hint="default"/>
          <w:lang w:val="en-US" w:eastAsia="zh-CN"/>
        </w:rPr>
        <w:t>Ready to help build the philanthropic partnerships behind healthier and more prosperous communities?</w:t>
      </w:r>
    </w:p>
    <w:p w14:paraId="07977449">
      <w:pPr>
        <w:rPr>
          <w:rFonts w:hint="default"/>
          <w:lang w:val="en-US" w:eastAsia="zh-CN"/>
        </w:rPr>
      </w:pPr>
    </w:p>
    <w:p w14:paraId="01FB653F">
      <w:pPr>
        <w:rPr>
          <w:rFonts w:hint="default"/>
          <w:lang w:val="en-US" w:eastAsia="zh-CN"/>
        </w:rPr>
      </w:pPr>
      <w:r>
        <w:rPr>
          <w:rFonts w:hint="default"/>
          <w:lang w:val="en-US" w:eastAsia="zh-CN"/>
        </w:rPr>
        <w:t>To learn more, apply, or nominate a candidate, please visit: https://www.lindauerglobal.com/searches/open-searches/chief-institutional-advancement-the-centers/?utm_medium=referral&amp;utm_source=job-board&amp;utm_campaign=centers-cia</w:t>
      </w:r>
    </w:p>
    <w:p w14:paraId="4720EFC3">
      <w:pPr>
        <w:rPr>
          <w:rFonts w:hint="default"/>
          <w:lang w:val="en-US" w:eastAsia="zh-CN"/>
        </w:rPr>
      </w:pPr>
    </w:p>
    <w:p w14:paraId="7A6DC50B">
      <w:pPr>
        <w:rPr>
          <w:rFonts w:hint="default"/>
          <w:lang w:val="en-US" w:eastAsia="zh-CN"/>
        </w:rPr>
      </w:pPr>
      <w:r>
        <w:rPr>
          <w:rFonts w:hint="default"/>
          <w:lang w:val="en-US" w:eastAsia="zh-CN"/>
        </w:rPr>
        <w:t>Lindauer, a global search and talent firm, has been retained to conduct this search on behalf of The Centers. Consideration of candidates will continue until the position is filled.</w:t>
      </w:r>
    </w:p>
    <w:p w14:paraId="3BAD8CC9">
      <w:pPr>
        <w:rPr>
          <w:rFonts w:hint="default"/>
          <w:lang w:val="en-US" w:eastAsia="zh-CN"/>
        </w:rPr>
      </w:pPr>
    </w:p>
    <w:p w14:paraId="15B7F77A">
      <w:pPr>
        <w:rPr>
          <w:rFonts w:hint="default"/>
          <w:lang w:val="en-US" w:eastAsia="zh-CN"/>
        </w:rPr>
      </w:pPr>
      <w:r>
        <w:rPr>
          <w:rFonts w:hint="default"/>
          <w:lang w:val="en-US" w:eastAsia="zh-CN"/>
        </w:rPr>
        <w:t>je-2b1fc2404ca74bf6990e9d04dfb5420c</w:t>
      </w:r>
    </w:p>
    <w:sectPr>
      <w:pgSz w:w="12240" w:h="15840"/>
      <w:pgMar w:top="720" w:right="720" w:bottom="720" w:left="1620" w:header="720" w:footer="720" w:gutter="0"/>
      <w:cols w:space="90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573"/>
    <w:rsid w:val="000163F1"/>
    <w:rsid w:val="00041E5E"/>
    <w:rsid w:val="00077BB1"/>
    <w:rsid w:val="000D7D0D"/>
    <w:rsid w:val="000E2BBA"/>
    <w:rsid w:val="000F23B1"/>
    <w:rsid w:val="0010598D"/>
    <w:rsid w:val="0014101B"/>
    <w:rsid w:val="001617A7"/>
    <w:rsid w:val="0016683A"/>
    <w:rsid w:val="0017224C"/>
    <w:rsid w:val="001810CD"/>
    <w:rsid w:val="00187C27"/>
    <w:rsid w:val="001A0CB4"/>
    <w:rsid w:val="001F29F4"/>
    <w:rsid w:val="0020412A"/>
    <w:rsid w:val="0021705C"/>
    <w:rsid w:val="002448D2"/>
    <w:rsid w:val="00244D35"/>
    <w:rsid w:val="0025006C"/>
    <w:rsid w:val="0026545D"/>
    <w:rsid w:val="002A28C9"/>
    <w:rsid w:val="002B1F0A"/>
    <w:rsid w:val="002C232E"/>
    <w:rsid w:val="002D5E1B"/>
    <w:rsid w:val="0031568E"/>
    <w:rsid w:val="0032165B"/>
    <w:rsid w:val="00344F63"/>
    <w:rsid w:val="003451FE"/>
    <w:rsid w:val="00346F8E"/>
    <w:rsid w:val="00361BC6"/>
    <w:rsid w:val="003803BA"/>
    <w:rsid w:val="00391572"/>
    <w:rsid w:val="00391D9A"/>
    <w:rsid w:val="00397410"/>
    <w:rsid w:val="003A3F38"/>
    <w:rsid w:val="003B0787"/>
    <w:rsid w:val="003C1573"/>
    <w:rsid w:val="003C238A"/>
    <w:rsid w:val="003D0EBE"/>
    <w:rsid w:val="003E395F"/>
    <w:rsid w:val="00425607"/>
    <w:rsid w:val="00456F83"/>
    <w:rsid w:val="004802C2"/>
    <w:rsid w:val="004850BA"/>
    <w:rsid w:val="0049319C"/>
    <w:rsid w:val="00496B82"/>
    <w:rsid w:val="004C3F36"/>
    <w:rsid w:val="004E006E"/>
    <w:rsid w:val="005071C4"/>
    <w:rsid w:val="00513DC0"/>
    <w:rsid w:val="005207DC"/>
    <w:rsid w:val="00520FA6"/>
    <w:rsid w:val="00521297"/>
    <w:rsid w:val="0053196B"/>
    <w:rsid w:val="0054702C"/>
    <w:rsid w:val="00551F40"/>
    <w:rsid w:val="00557BB5"/>
    <w:rsid w:val="005667E9"/>
    <w:rsid w:val="005A187E"/>
    <w:rsid w:val="005B3692"/>
    <w:rsid w:val="005E1B35"/>
    <w:rsid w:val="00601D2B"/>
    <w:rsid w:val="006053F6"/>
    <w:rsid w:val="0061106F"/>
    <w:rsid w:val="00611173"/>
    <w:rsid w:val="006111D6"/>
    <w:rsid w:val="0061372A"/>
    <w:rsid w:val="006211C9"/>
    <w:rsid w:val="0062466B"/>
    <w:rsid w:val="00624A2A"/>
    <w:rsid w:val="0063468A"/>
    <w:rsid w:val="00636661"/>
    <w:rsid w:val="00646CAB"/>
    <w:rsid w:val="00646E2D"/>
    <w:rsid w:val="006538F3"/>
    <w:rsid w:val="0066575C"/>
    <w:rsid w:val="006858B6"/>
    <w:rsid w:val="0068697E"/>
    <w:rsid w:val="006B367A"/>
    <w:rsid w:val="006B7CE1"/>
    <w:rsid w:val="006C7FE9"/>
    <w:rsid w:val="006E51E4"/>
    <w:rsid w:val="006F2C11"/>
    <w:rsid w:val="007209E9"/>
    <w:rsid w:val="00721BC3"/>
    <w:rsid w:val="007327B2"/>
    <w:rsid w:val="00767238"/>
    <w:rsid w:val="00785ECB"/>
    <w:rsid w:val="00796C80"/>
    <w:rsid w:val="007A3AD2"/>
    <w:rsid w:val="007B56F9"/>
    <w:rsid w:val="007D61CD"/>
    <w:rsid w:val="007E1227"/>
    <w:rsid w:val="007F323A"/>
    <w:rsid w:val="007F6E36"/>
    <w:rsid w:val="00812A9B"/>
    <w:rsid w:val="00822832"/>
    <w:rsid w:val="00827CAE"/>
    <w:rsid w:val="0084216A"/>
    <w:rsid w:val="00846111"/>
    <w:rsid w:val="00850258"/>
    <w:rsid w:val="00850658"/>
    <w:rsid w:val="00856A26"/>
    <w:rsid w:val="00861F08"/>
    <w:rsid w:val="008A045B"/>
    <w:rsid w:val="008B6D5B"/>
    <w:rsid w:val="008E2367"/>
    <w:rsid w:val="008E325C"/>
    <w:rsid w:val="008E7544"/>
    <w:rsid w:val="008F0C3A"/>
    <w:rsid w:val="008F2FF2"/>
    <w:rsid w:val="0091359E"/>
    <w:rsid w:val="00930C92"/>
    <w:rsid w:val="009508E7"/>
    <w:rsid w:val="00952877"/>
    <w:rsid w:val="009759D1"/>
    <w:rsid w:val="0098624C"/>
    <w:rsid w:val="009C12F7"/>
    <w:rsid w:val="009C50D1"/>
    <w:rsid w:val="009E0D26"/>
    <w:rsid w:val="009E7C70"/>
    <w:rsid w:val="00A07185"/>
    <w:rsid w:val="00A123BD"/>
    <w:rsid w:val="00A16294"/>
    <w:rsid w:val="00A27933"/>
    <w:rsid w:val="00A30B42"/>
    <w:rsid w:val="00A3349B"/>
    <w:rsid w:val="00A501C2"/>
    <w:rsid w:val="00A607C8"/>
    <w:rsid w:val="00A636D1"/>
    <w:rsid w:val="00A86000"/>
    <w:rsid w:val="00AA208B"/>
    <w:rsid w:val="00AA2A92"/>
    <w:rsid w:val="00AC43EA"/>
    <w:rsid w:val="00AC51A0"/>
    <w:rsid w:val="00AD3D4D"/>
    <w:rsid w:val="00AE394C"/>
    <w:rsid w:val="00AE46F5"/>
    <w:rsid w:val="00AF0B08"/>
    <w:rsid w:val="00B00D66"/>
    <w:rsid w:val="00B07C64"/>
    <w:rsid w:val="00B13618"/>
    <w:rsid w:val="00B3263B"/>
    <w:rsid w:val="00B35E12"/>
    <w:rsid w:val="00B72FE1"/>
    <w:rsid w:val="00B811D7"/>
    <w:rsid w:val="00B85D19"/>
    <w:rsid w:val="00B93113"/>
    <w:rsid w:val="00BC1337"/>
    <w:rsid w:val="00C2038E"/>
    <w:rsid w:val="00C305DB"/>
    <w:rsid w:val="00C31085"/>
    <w:rsid w:val="00C4773A"/>
    <w:rsid w:val="00C65989"/>
    <w:rsid w:val="00C74979"/>
    <w:rsid w:val="00C749FA"/>
    <w:rsid w:val="00C9183F"/>
    <w:rsid w:val="00CA6206"/>
    <w:rsid w:val="00CA79B8"/>
    <w:rsid w:val="00CC1EEB"/>
    <w:rsid w:val="00CF13D8"/>
    <w:rsid w:val="00CF48F9"/>
    <w:rsid w:val="00D0130E"/>
    <w:rsid w:val="00D268F3"/>
    <w:rsid w:val="00D275C1"/>
    <w:rsid w:val="00D4428D"/>
    <w:rsid w:val="00D65A00"/>
    <w:rsid w:val="00D76E7A"/>
    <w:rsid w:val="00D77AD4"/>
    <w:rsid w:val="00D8483F"/>
    <w:rsid w:val="00D8699E"/>
    <w:rsid w:val="00D96D8B"/>
    <w:rsid w:val="00DC0C68"/>
    <w:rsid w:val="00DE1D39"/>
    <w:rsid w:val="00E01DEC"/>
    <w:rsid w:val="00E07334"/>
    <w:rsid w:val="00E14766"/>
    <w:rsid w:val="00E21249"/>
    <w:rsid w:val="00E4612E"/>
    <w:rsid w:val="00E47A9B"/>
    <w:rsid w:val="00E56320"/>
    <w:rsid w:val="00E92AC2"/>
    <w:rsid w:val="00EA040F"/>
    <w:rsid w:val="00EC5FC5"/>
    <w:rsid w:val="00EE3D3D"/>
    <w:rsid w:val="00F06EB7"/>
    <w:rsid w:val="00F10482"/>
    <w:rsid w:val="00F16924"/>
    <w:rsid w:val="00F2473A"/>
    <w:rsid w:val="00F76FAC"/>
    <w:rsid w:val="00F83DF5"/>
    <w:rsid w:val="00FC7E2D"/>
    <w:rsid w:val="00FD0E4D"/>
    <w:rsid w:val="00FD1E4A"/>
    <w:rsid w:val="00FD38E6"/>
    <w:rsid w:val="00FF2F63"/>
    <w:rsid w:val="074A046C"/>
    <w:rsid w:val="0F2478E6"/>
    <w:rsid w:val="1432754B"/>
    <w:rsid w:val="23814990"/>
    <w:rsid w:val="27E8080E"/>
    <w:rsid w:val="2EE16F3C"/>
    <w:rsid w:val="2FC5365C"/>
    <w:rsid w:val="3276418B"/>
    <w:rsid w:val="33821135"/>
    <w:rsid w:val="394F549A"/>
    <w:rsid w:val="41B56372"/>
    <w:rsid w:val="44403C3F"/>
    <w:rsid w:val="46CD5764"/>
    <w:rsid w:val="4B27631A"/>
    <w:rsid w:val="4BF8673F"/>
    <w:rsid w:val="4D225BDD"/>
    <w:rsid w:val="501C39C1"/>
    <w:rsid w:val="50B87699"/>
    <w:rsid w:val="553B5EC1"/>
    <w:rsid w:val="55A00B40"/>
    <w:rsid w:val="579F1D3E"/>
    <w:rsid w:val="592311FF"/>
    <w:rsid w:val="5EEF735A"/>
    <w:rsid w:val="6C384941"/>
    <w:rsid w:val="6C787517"/>
    <w:rsid w:val="6DD82444"/>
    <w:rsid w:val="73C53560"/>
    <w:rsid w:val="7F46452C"/>
    <w:rsid w:val="7F6C74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qFormat/>
    <w:uiPriority w:val="0"/>
    <w:pPr>
      <w:keepNext/>
      <w:tabs>
        <w:tab w:val="left" w:pos="144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outlineLvl w:val="0"/>
    </w:pPr>
    <w:rPr>
      <w:rFonts w:ascii="Arial" w:hAnsi="Arial" w:cs="Arial"/>
      <w:b/>
      <w:bCs/>
      <w:i/>
      <w:iCs/>
      <w:color w:val="000000"/>
      <w:sz w:val="20"/>
      <w:szCs w:val="16"/>
    </w:rPr>
  </w:style>
  <w:style w:type="paragraph" w:styleId="3">
    <w:name w:val="heading 2"/>
    <w:basedOn w:val="1"/>
    <w:next w:val="1"/>
    <w:qFormat/>
    <w:uiPriority w:val="0"/>
    <w:pPr>
      <w:keepNext/>
      <w:tabs>
        <w:tab w:val="left" w:pos="144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outlineLvl w:val="1"/>
    </w:pPr>
    <w:rPr>
      <w:rFonts w:ascii="Arial" w:hAnsi="Arial" w:cs="Arial"/>
      <w:b/>
      <w:bCs/>
      <w:color w:val="000000"/>
      <w:sz w:val="20"/>
      <w:szCs w:val="16"/>
    </w:rPr>
  </w:style>
  <w:style w:type="paragraph" w:styleId="4">
    <w:name w:val="heading 3"/>
    <w:basedOn w:val="1"/>
    <w:next w:val="1"/>
    <w:qFormat/>
    <w:uiPriority w:val="0"/>
    <w:pPr>
      <w:keepNext/>
      <w:tabs>
        <w:tab w:val="left" w:pos="161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outlineLvl w:val="2"/>
    </w:pPr>
    <w:rPr>
      <w:rFonts w:ascii="Arial" w:hAnsi="Arial" w:cs="Arial"/>
      <w:i/>
      <w:iCs/>
      <w:color w:val="000000"/>
      <w:szCs w:val="16"/>
    </w:rPr>
  </w:style>
  <w:style w:type="paragraph" w:styleId="5">
    <w:name w:val="heading 4"/>
    <w:basedOn w:val="1"/>
    <w:next w:val="1"/>
    <w:qFormat/>
    <w:uiPriority w:val="0"/>
    <w:pPr>
      <w:keepNext/>
      <w:tabs>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utlineLvl w:val="3"/>
    </w:pPr>
    <w:rPr>
      <w:rFonts w:ascii="Arial" w:hAnsi="Arial" w:cs="Arial"/>
      <w:b/>
      <w:bCs/>
      <w:i/>
      <w:iCs/>
      <w:color w:val="000000"/>
      <w:szCs w:val="16"/>
      <w:u w:val="single"/>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qFormat/>
    <w:uiPriority w:val="0"/>
    <w:rPr>
      <w:i/>
      <w:iCs/>
    </w:rPr>
  </w:style>
  <w:style w:type="character" w:styleId="9">
    <w:name w:val="Hyperlink"/>
    <w:qFormat/>
    <w:uiPriority w:val="0"/>
    <w:rPr>
      <w:color w:val="0083C7"/>
      <w:u w:val="single"/>
    </w:rPr>
  </w:style>
  <w:style w:type="paragraph" w:styleId="10">
    <w:name w:val="Normal (Web)"/>
    <w:basedOn w:val="1"/>
    <w:qFormat/>
    <w:uiPriority w:val="0"/>
    <w:pPr>
      <w:spacing w:before="100" w:beforeAutospacing="1" w:after="100" w:afterAutospacing="1" w:line="210" w:lineRule="atLeast"/>
    </w:pPr>
    <w:rPr>
      <w:rFonts w:ascii="Verdana" w:hAnsi="Verdana"/>
      <w:sz w:val="18"/>
      <w:szCs w:val="18"/>
    </w:rPr>
  </w:style>
  <w:style w:type="character" w:styleId="11">
    <w:name w:val="Strong"/>
    <w:qFormat/>
    <w:uiPriority w:val="0"/>
    <w:rPr>
      <w:b/>
      <w:bCs/>
    </w:rPr>
  </w:style>
  <w:style w:type="paragraph" w:styleId="12">
    <w:name w:val="Title"/>
    <w:basedOn w:val="1"/>
    <w:qFormat/>
    <w:uiPriority w:val="0"/>
    <w:pPr>
      <w:tabs>
        <w:tab w:val="left" w:pos="1440"/>
        <w:tab w:val="left" w:pos="21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jc w:val="center"/>
    </w:pPr>
    <w:rPr>
      <w:rFonts w:ascii="Arial" w:hAnsi="Arial" w:cs="Arial"/>
      <w:b/>
      <w:bCs/>
      <w:color w:val="000000"/>
      <w:sz w:val="28"/>
      <w:szCs w:val="20"/>
      <w:u w:val="single"/>
    </w:rPr>
  </w:style>
  <w:style w:type="paragraph" w:customStyle="1" w:styleId="13">
    <w:name w:val="[Normal]"/>
    <w:qFormat/>
    <w:uiPriority w:val="0"/>
    <w:pPr>
      <w:autoSpaceDE w:val="0"/>
      <w:autoSpaceDN w:val="0"/>
      <w:adjustRightInd w:val="0"/>
    </w:pPr>
    <w:rPr>
      <w:rFonts w:ascii="Arial" w:hAnsi="Arial" w:eastAsia="Times New Roman" w:cs="Arial"/>
      <w:b/>
      <w:bCs/>
      <w:i/>
      <w:iCs/>
      <w:color w:val="000000"/>
      <w:sz w:val="23"/>
      <w:szCs w:val="23"/>
      <w:lang w:val="en-US" w:eastAsia="en-US" w:bidi="ar-SA"/>
    </w:rPr>
  </w:style>
  <w:style w:type="character" w:customStyle="1" w:styleId="14">
    <w:name w:val="st"/>
    <w:basedOn w:val="6"/>
    <w:qFormat/>
    <w:uiPriority w:val="0"/>
  </w:style>
  <w:style w:type="character" w:customStyle="1" w:styleId="15">
    <w:name w:val="lrzxr"/>
    <w:qFormat/>
    <w:uiPriority w:val="0"/>
  </w:style>
  <w:style w:type="paragraph" w:styleId="1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078F7-B6D6-7145-887C-1E786452931C}">
  <ds:schemaRefs/>
</ds:datastoreItem>
</file>

<file path=docProps/app.xml><?xml version="1.0" encoding="utf-8"?>
<Properties xmlns="http://schemas.openxmlformats.org/officeDocument/2006/extended-properties" xmlns:vt="http://schemas.openxmlformats.org/officeDocument/2006/docPropsVTypes">
  <Template>Normal.dotm</Template>
  <Company>SourceMedia</Company>
  <Pages>1</Pages>
  <Words>623</Words>
  <Characters>4266</Characters>
  <Lines>234</Lines>
  <Paragraphs>76</Paragraphs>
  <TotalTime>8373</TotalTime>
  <ScaleCrop>false</ScaleCrop>
  <LinksUpToDate>false</LinksUpToDate>
  <CharactersWithSpaces>4869</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2026-09-22T22:43:00Z</dcterms:created>
  <dc:creator>Richard Thomas</dc:creator>
  <cp:lastModifiedBy>Tony Ngo</cp:lastModifiedBy>
  <dcterms:modified xsi:type="dcterms:W3CDTF">2026-10-01T19:27:10Z</dcterms:modified>
  <dc:title>Accountants Media Group Online Advertising Insertion Order</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DBF84C440E6D42C79331DDE410A90CF5_13</vt:lpwstr>
  </property>
</Properties>
</file>