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C6AB1" w:rsidP="002C6AB1" w:rsidRDefault="002C6AB1" w14:paraId="3247F71A" w14:textId="77777777">
      <w:pPr>
        <w:pStyle w:val="Title"/>
      </w:pPr>
      <w:r>
        <w:t>Title: Style “Title,” Arial, 14-pt., Bold, Centered</w:t>
      </w:r>
    </w:p>
    <w:p w:rsidR="002C6AB1" w:rsidP="002C6AB1" w:rsidRDefault="002C6AB1" w14:paraId="0DDF6DB3" w14:textId="77777777">
      <w:pPr>
        <w:pBdr>
          <w:top w:val="nil"/>
          <w:left w:val="nil"/>
          <w:bottom w:val="nil"/>
          <w:right w:val="nil"/>
          <w:between w:val="nil"/>
        </w:pBdr>
        <w:jc w:val="both"/>
        <w:rPr>
          <w:color w:val="000000"/>
          <w:szCs w:val="20"/>
        </w:rPr>
      </w:pPr>
    </w:p>
    <w:p w:rsidR="002C6AB1" w:rsidP="002C6AB1" w:rsidRDefault="002C6AB1" w14:paraId="4F8029EB" w14:textId="77777777">
      <w:pPr>
        <w:pBdr>
          <w:top w:val="nil"/>
          <w:left w:val="nil"/>
          <w:bottom w:val="nil"/>
          <w:right w:val="nil"/>
          <w:between w:val="nil"/>
        </w:pBdr>
        <w:jc w:val="center"/>
        <w:rPr>
          <w:color w:val="000000"/>
          <w:szCs w:val="20"/>
        </w:rPr>
      </w:pPr>
      <w:r>
        <w:rPr>
          <w:color w:val="000000"/>
          <w:szCs w:val="20"/>
        </w:rPr>
        <w:t>Author Name, Institution, Email</w:t>
      </w:r>
    </w:p>
    <w:p w:rsidR="002C6AB1" w:rsidP="002C6AB1" w:rsidRDefault="002C6AB1" w14:paraId="02D4F790" w14:textId="77777777">
      <w:pPr>
        <w:pBdr>
          <w:top w:val="nil"/>
          <w:left w:val="nil"/>
          <w:bottom w:val="nil"/>
          <w:right w:val="nil"/>
          <w:between w:val="nil"/>
        </w:pBdr>
        <w:jc w:val="center"/>
        <w:rPr>
          <w:color w:val="000000"/>
          <w:szCs w:val="20"/>
        </w:rPr>
      </w:pPr>
      <w:r>
        <w:rPr>
          <w:color w:val="000000"/>
          <w:szCs w:val="20"/>
        </w:rPr>
        <w:t>Author Name 2, Institution 2, Email 2</w:t>
      </w:r>
    </w:p>
    <w:p w:rsidR="002C6AB1" w:rsidP="002C6AB1" w:rsidRDefault="002C6AB1" w14:paraId="3F2A04F6" w14:textId="77777777">
      <w:pPr>
        <w:pBdr>
          <w:top w:val="nil"/>
          <w:left w:val="nil"/>
          <w:bottom w:val="nil"/>
          <w:right w:val="nil"/>
          <w:between w:val="nil"/>
        </w:pBdr>
        <w:jc w:val="center"/>
        <w:rPr>
          <w:color w:val="000000"/>
          <w:szCs w:val="20"/>
        </w:rPr>
      </w:pPr>
      <w:r>
        <w:rPr>
          <w:color w:val="000000"/>
          <w:szCs w:val="20"/>
        </w:rPr>
        <w:t xml:space="preserve">(if same institution, you may put all authors separated by commas, </w:t>
      </w:r>
    </w:p>
    <w:p w:rsidR="002C6AB1" w:rsidP="002C6AB1" w:rsidRDefault="002C6AB1" w14:paraId="4A0D2D4E" w14:textId="77777777">
      <w:pPr>
        <w:pBdr>
          <w:top w:val="nil"/>
          <w:left w:val="nil"/>
          <w:bottom w:val="nil"/>
          <w:right w:val="nil"/>
          <w:between w:val="nil"/>
        </w:pBdr>
        <w:jc w:val="center"/>
        <w:rPr>
          <w:color w:val="000000"/>
          <w:szCs w:val="20"/>
        </w:rPr>
      </w:pPr>
      <w:r>
        <w:rPr>
          <w:color w:val="000000"/>
          <w:szCs w:val="20"/>
        </w:rPr>
        <w:t>then put on new line “email_1, email_2, email_3” in order of authorship,</w:t>
      </w:r>
    </w:p>
    <w:p w:rsidR="002C6AB1" w:rsidP="002C6AB1" w:rsidRDefault="002C6AB1" w14:paraId="768FF54E" w14:textId="77777777">
      <w:pPr>
        <w:pBdr>
          <w:top w:val="nil"/>
          <w:left w:val="nil"/>
          <w:bottom w:val="nil"/>
          <w:right w:val="nil"/>
          <w:between w:val="nil"/>
        </w:pBdr>
        <w:jc w:val="center"/>
        <w:rPr>
          <w:color w:val="000000"/>
          <w:szCs w:val="20"/>
        </w:rPr>
      </w:pPr>
      <w:r>
        <w:rPr>
          <w:color w:val="000000"/>
          <w:szCs w:val="20"/>
        </w:rPr>
        <w:t>then put institution on the bottom line)</w:t>
      </w:r>
    </w:p>
    <w:p w:rsidR="002C6AB1" w:rsidP="002C6AB1" w:rsidRDefault="002C6AB1" w14:paraId="0BC2A7BA" w14:textId="77777777">
      <w:pPr>
        <w:pBdr>
          <w:top w:val="nil"/>
          <w:left w:val="nil"/>
          <w:bottom w:val="nil"/>
          <w:right w:val="nil"/>
          <w:between w:val="nil"/>
        </w:pBdr>
        <w:jc w:val="both"/>
        <w:rPr>
          <w:color w:val="000000"/>
          <w:szCs w:val="20"/>
        </w:rPr>
      </w:pPr>
    </w:p>
    <w:p w:rsidR="002C6AB1" w:rsidP="30493BEA" w:rsidRDefault="002C6AB1" w14:paraId="45A93DBF" w14:noSpellErr="1" w14:textId="72F41A8F">
      <w:pPr>
        <w:pBdr>
          <w:top w:val="nil" w:color="FF000000" w:sz="0" w:space="0"/>
          <w:left w:val="nil" w:color="FF000000" w:sz="0" w:space="0"/>
          <w:bottom w:val="nil" w:color="FF000000" w:sz="0" w:space="0"/>
          <w:right w:val="nil" w:color="FF000000" w:sz="0" w:space="0"/>
          <w:between w:val="nil" w:color="FF000000" w:sz="0" w:space="0"/>
        </w:pBdr>
        <w:ind w:left="720" w:right="720"/>
        <w:jc w:val="both"/>
        <w:rPr>
          <w:color w:val="000000"/>
        </w:rPr>
      </w:pPr>
      <w:r w:rsidRPr="30493BEA" w:rsidR="002C6AB1">
        <w:rPr>
          <w:b w:val="1"/>
          <w:bCs w:val="1"/>
          <w:color w:val="000000" w:themeColor="text1" w:themeTint="FF" w:themeShade="FF"/>
        </w:rPr>
        <w:t>Abstract:</w:t>
      </w:r>
      <w:r w:rsidRPr="30493BEA" w:rsidR="002C6AB1">
        <w:rPr>
          <w:color w:val="000000" w:themeColor="text1" w:themeTint="FF" w:themeShade="FF"/>
        </w:rPr>
        <w:t xml:space="preserve"> Place one 12-pt. blank line before the abstract. </w:t>
      </w:r>
      <w:r w:rsidRPr="30493BEA" w:rsidR="2173FBB0">
        <w:rPr>
          <w:color w:val="000000" w:themeColor="text1" w:themeTint="FF" w:themeShade="FF"/>
        </w:rPr>
        <w:t>Use</w:t>
      </w:r>
      <w:r w:rsidRPr="30493BEA" w:rsidR="002C6AB1">
        <w:rPr>
          <w:color w:val="000000" w:themeColor="text1" w:themeTint="FF" w:themeShade="FF"/>
        </w:rPr>
        <w:t xml:space="preserve"> “Abstract,” Times or Times New Roman, 10-pt., for your abstract. Indent the abstract 1.27 cm (0.5 inches) from the right and left margins of the paper. All </w:t>
      </w:r>
      <w:r w:rsidRPr="30493BEA" w:rsidR="002C6AB1">
        <w:rPr>
          <w:color w:val="000000" w:themeColor="text1" w:themeTint="FF" w:themeShade="FF"/>
        </w:rPr>
        <w:t>text</w:t>
      </w:r>
      <w:r w:rsidRPr="30493BEA" w:rsidR="002C6AB1">
        <w:rPr>
          <w:color w:val="000000" w:themeColor="text1" w:themeTint="FF" w:themeShade="FF"/>
        </w:rPr>
        <w:t xml:space="preserve"> should be single-spaced. “Full justify” all text (straight margins on both left and right sides). </w:t>
      </w:r>
      <w:r w:rsidRPr="30493BEA" w:rsidR="002C6AB1">
        <w:rPr>
          <w:color w:val="000000" w:themeColor="text1" w:themeTint="FF" w:themeShade="FF"/>
        </w:rPr>
        <w:t>Paper abstracts are 150 words; poster abstracts are 75 words.</w:t>
      </w:r>
    </w:p>
    <w:p w:rsidR="002C6AB1" w:rsidP="002C6AB1" w:rsidRDefault="002C6AB1" w14:paraId="08B2A48D" w14:textId="77777777">
      <w:pPr>
        <w:pStyle w:val="Heading1"/>
      </w:pPr>
      <w:r>
        <w:t>General notes (Style “Heading 1” — Arial, 12-pt., bold, 12-pt. space before, only first word capitalized except after a colon)</w:t>
      </w:r>
    </w:p>
    <w:p w:rsidR="002C6AB1" w:rsidP="30493BEA" w:rsidRDefault="001E203C" w14:paraId="485F78BC" w14:noSpellErr="1" w14:textId="4915A1DB">
      <w:pPr>
        <w:pBdr>
          <w:top w:val="nil" w:color="FF000000" w:sz="0" w:space="0"/>
          <w:left w:val="nil" w:color="FF000000" w:sz="0" w:space="0"/>
          <w:bottom w:val="nil" w:color="FF000000" w:sz="0" w:space="0"/>
          <w:right w:val="nil" w:color="FF000000" w:sz="0" w:space="0"/>
          <w:between w:val="nil" w:color="FF000000" w:sz="0" w:space="0"/>
        </w:pBdr>
        <w:jc w:val="both"/>
        <w:rPr>
          <w:color w:val="000000"/>
        </w:rPr>
      </w:pPr>
      <w:r w:rsidRPr="30493BEA" w:rsidR="001E203C">
        <w:rPr>
          <w:color w:val="000000" w:themeColor="text1" w:themeTint="FF" w:themeShade="FF"/>
        </w:rPr>
        <w:t>This year</w:t>
      </w:r>
      <w:r w:rsidRPr="30493BEA" w:rsidR="002C6AB1">
        <w:rPr>
          <w:color w:val="000000" w:themeColor="text1" w:themeTint="FF" w:themeShade="FF"/>
        </w:rPr>
        <w:t xml:space="preserve"> we are publishing the AECT </w:t>
      </w:r>
      <w:r w:rsidRPr="30493BEA" w:rsidR="00CC890C">
        <w:rPr>
          <w:color w:val="000000" w:themeColor="text1" w:themeTint="FF" w:themeShade="FF"/>
        </w:rPr>
        <w:t>proceedings</w:t>
      </w:r>
      <w:r w:rsidRPr="30493BEA" w:rsidR="002C6AB1">
        <w:rPr>
          <w:color w:val="000000" w:themeColor="text1" w:themeTint="FF" w:themeShade="FF"/>
        </w:rPr>
        <w:t xml:space="preserve"> through the Journal of Applied Instructional Design (JAID). This document provides formatting requirements for papers that will be published in the proceedings of the AECT </w:t>
      </w:r>
      <w:r w:rsidR="002C6AB1">
        <w:rPr/>
        <w:t>A</w:t>
      </w:r>
      <w:r w:rsidRPr="30493BEA" w:rsidR="002C6AB1">
        <w:rPr>
          <w:color w:val="000000" w:themeColor="text1" w:themeTint="FF" w:themeShade="FF"/>
        </w:rPr>
        <w:t xml:space="preserve">nnual Convention. Your paper must conform to these guidelines so that each paper in the proceedings is uniform. Submitting your paper following these guidelines is necessary </w:t>
      </w:r>
      <w:r w:rsidRPr="30493BEA" w:rsidR="59A87829">
        <w:rPr>
          <w:color w:val="000000" w:themeColor="text1" w:themeTint="FF" w:themeShade="FF"/>
        </w:rPr>
        <w:t>to make</w:t>
      </w:r>
      <w:r w:rsidRPr="30493BEA" w:rsidR="002C6AB1">
        <w:rPr>
          <w:color w:val="000000" w:themeColor="text1" w:themeTint="FF" w:themeShade="FF"/>
        </w:rPr>
        <w:t xml:space="preserve"> sure that your paper is included in the proceedings. It is recommended to use the MS Word styles in this document as a template for your document. </w:t>
      </w:r>
    </w:p>
    <w:p w:rsidR="002C6AB1" w:rsidP="002C6AB1" w:rsidRDefault="002C6AB1" w14:paraId="11A79107" w14:textId="77777777">
      <w:pPr>
        <w:pStyle w:val="Heading2"/>
      </w:pPr>
      <w:r>
        <w:t>Body text formatting (Style “Heading 2” — Arial, 12-pt., regular, 10-pt. space before, only first word capitalized except after a colon)</w:t>
      </w:r>
    </w:p>
    <w:p w:rsidR="002C6AB1" w:rsidP="002C6AB1" w:rsidRDefault="002C6AB1" w14:paraId="64736D04" w14:textId="77777777">
      <w:pPr>
        <w:pBdr>
          <w:top w:val="nil"/>
          <w:left w:val="nil"/>
          <w:bottom w:val="nil"/>
          <w:right w:val="nil"/>
          <w:between w:val="nil"/>
        </w:pBdr>
        <w:jc w:val="both"/>
        <w:rPr>
          <w:color w:val="000000"/>
          <w:szCs w:val="20"/>
        </w:rPr>
      </w:pPr>
      <w:r>
        <w:rPr>
          <w:color w:val="000000"/>
          <w:szCs w:val="20"/>
        </w:rPr>
        <w:t>The initial paragraph following a heading should be in style “Body Text.” Use Times or Times New Roman 10 pt. “Full justify” paragraph text (straight margins on both left and right sides). Do not indent or leave a blank line following the heading. The margins for your entire paper should be 2.54 cm (1 inch) on the right and left and 3.1</w:t>
      </w:r>
      <w:r>
        <w:t>75</w:t>
      </w:r>
      <w:r>
        <w:rPr>
          <w:color w:val="000000"/>
          <w:szCs w:val="20"/>
        </w:rPr>
        <w:t xml:space="preserve"> cm (1.25 inches) on the top and bottom, using A4 paper (not Letter!). </w:t>
      </w:r>
    </w:p>
    <w:p w:rsidR="002C6AB1" w:rsidP="002C6AB1" w:rsidRDefault="002C6AB1" w14:paraId="3B2A2A7D" w14:textId="77777777">
      <w:pPr>
        <w:pBdr>
          <w:top w:val="nil"/>
          <w:left w:val="nil"/>
          <w:bottom w:val="nil"/>
          <w:right w:val="nil"/>
          <w:between w:val="nil"/>
        </w:pBdr>
        <w:ind w:firstLine="720"/>
        <w:jc w:val="both"/>
        <w:rPr>
          <w:color w:val="000000"/>
          <w:szCs w:val="20"/>
        </w:rPr>
      </w:pPr>
      <w:r>
        <w:rPr>
          <w:color w:val="000000"/>
          <w:szCs w:val="20"/>
        </w:rPr>
        <w:t xml:space="preserve">Subsequent paragraphs are in style “Body Text First Indent.” Do not leave blank lines between paragraphs. Indent the first line of each paragraph 1.27 cm (0.5 inches) from the left margin. </w:t>
      </w:r>
    </w:p>
    <w:p w:rsidR="002C6AB1" w:rsidP="002C6AB1" w:rsidRDefault="002C6AB1" w14:paraId="5BACD6CC" w14:textId="77777777">
      <w:pPr>
        <w:pBdr>
          <w:top w:val="nil"/>
          <w:left w:val="nil"/>
          <w:bottom w:val="nil"/>
          <w:right w:val="nil"/>
          <w:between w:val="nil"/>
        </w:pBdr>
        <w:ind w:firstLine="720"/>
        <w:jc w:val="both"/>
        <w:rPr>
          <w:color w:val="000000"/>
          <w:szCs w:val="20"/>
        </w:rPr>
      </w:pPr>
      <w:r>
        <w:rPr>
          <w:i/>
          <w:color w:val="000000"/>
          <w:szCs w:val="20"/>
        </w:rPr>
        <w:t>DO NOT use page numbers, running heads, or footnotes.</w:t>
      </w:r>
      <w:r>
        <w:rPr>
          <w:color w:val="000000"/>
          <w:szCs w:val="20"/>
        </w:rPr>
        <w:t xml:space="preserve"> If you must use notes, please use endnotes, and place them immediately before the reference list. Refer to endnotes in text using a standard full-sized numeral inside parentheses without superscripting (1). For </w:t>
      </w:r>
      <w:r>
        <w:rPr>
          <w:i/>
          <w:color w:val="000000"/>
          <w:szCs w:val="20"/>
        </w:rPr>
        <w:t xml:space="preserve">emphasis </w:t>
      </w:r>
      <w:r>
        <w:rPr>
          <w:color w:val="000000"/>
          <w:szCs w:val="20"/>
        </w:rPr>
        <w:t xml:space="preserve">in your text, use </w:t>
      </w:r>
      <w:r>
        <w:rPr>
          <w:i/>
          <w:color w:val="000000"/>
          <w:szCs w:val="20"/>
        </w:rPr>
        <w:t>italics</w:t>
      </w:r>
      <w:r>
        <w:rPr>
          <w:color w:val="000000"/>
          <w:szCs w:val="20"/>
        </w:rPr>
        <w:t>.</w:t>
      </w:r>
    </w:p>
    <w:p w:rsidR="002C6AB1" w:rsidP="002C6AB1" w:rsidRDefault="002C6AB1" w14:paraId="10B944B3" w14:textId="77777777">
      <w:pPr>
        <w:pBdr>
          <w:top w:val="nil"/>
          <w:left w:val="nil"/>
          <w:bottom w:val="nil"/>
          <w:right w:val="nil"/>
          <w:between w:val="nil"/>
        </w:pBdr>
        <w:ind w:firstLine="720"/>
        <w:jc w:val="both"/>
        <w:rPr>
          <w:color w:val="000000"/>
          <w:szCs w:val="20"/>
        </w:rPr>
      </w:pPr>
      <w:r>
        <w:rPr>
          <w:color w:val="000000"/>
          <w:szCs w:val="20"/>
        </w:rPr>
        <w:t xml:space="preserve">Leave one line before each section heading. This will be accomplished automatically if you use the MS Word styles in this document. Do not use more than three levels of headings. </w:t>
      </w:r>
    </w:p>
    <w:p w:rsidR="002C6AB1" w:rsidP="002C6AB1" w:rsidRDefault="002C6AB1" w14:paraId="2E8D52C8" w14:textId="77777777">
      <w:pPr>
        <w:pStyle w:val="Heading3"/>
        <w:rPr>
          <w:color w:val="000000"/>
        </w:rPr>
      </w:pPr>
      <w:r>
        <w:t xml:space="preserve">Page length (Style Heading 3 — Arial, 10-pt., regular, underlined, 10-pt. space before, only first word capitalized except </w:t>
      </w:r>
      <w:r>
        <w:rPr>
          <w:color w:val="000000"/>
        </w:rPr>
        <w:t>after a colon)</w:t>
      </w:r>
    </w:p>
    <w:p w:rsidR="00814673" w:rsidP="30493BEA" w:rsidRDefault="00077C4F" w14:paraId="4A08816A" w14:noSpellErr="1" w14:textId="1E7116C6">
      <w:pPr>
        <w:pBdr>
          <w:top w:val="nil" w:color="FF000000" w:sz="0" w:space="0"/>
          <w:left w:val="nil" w:color="FF000000" w:sz="0" w:space="0"/>
          <w:bottom w:val="nil" w:color="FF000000" w:sz="0" w:space="0"/>
          <w:right w:val="nil" w:color="FF000000" w:sz="0" w:space="0"/>
          <w:between w:val="nil" w:color="FF000000" w:sz="0" w:space="0"/>
        </w:pBdr>
        <w:jc w:val="both"/>
        <w:rPr>
          <w:i w:val="1"/>
          <w:iCs w:val="1"/>
          <w:color w:val="000000"/>
        </w:rPr>
      </w:pPr>
      <w:r w:rsidRPr="30493BEA" w:rsidR="00077C4F">
        <w:rPr>
          <w:color w:val="000000" w:themeColor="text1" w:themeTint="FF" w:themeShade="FF"/>
        </w:rPr>
        <w:t>All proposals that have been accepted to the AECT2</w:t>
      </w:r>
      <w:r w:rsidRPr="30493BEA" w:rsidR="250C3101">
        <w:rPr>
          <w:color w:val="000000" w:themeColor="text1" w:themeTint="FF" w:themeShade="FF"/>
        </w:rPr>
        <w:t>5</w:t>
      </w:r>
      <w:r w:rsidRPr="30493BEA" w:rsidR="00077C4F">
        <w:rPr>
          <w:color w:val="000000" w:themeColor="text1" w:themeTint="FF" w:themeShade="FF"/>
        </w:rPr>
        <w:t xml:space="preserve"> convention are eligible to </w:t>
      </w:r>
      <w:r w:rsidRPr="30493BEA" w:rsidR="00077C4F">
        <w:rPr>
          <w:color w:val="000000" w:themeColor="text1" w:themeTint="FF" w:themeShade="FF"/>
        </w:rPr>
        <w:t>submit</w:t>
      </w:r>
      <w:r w:rsidRPr="30493BEA" w:rsidR="00077C4F">
        <w:rPr>
          <w:color w:val="000000" w:themeColor="text1" w:themeTint="FF" w:themeShade="FF"/>
        </w:rPr>
        <w:t xml:space="preserve"> paper </w:t>
      </w:r>
      <w:r w:rsidRPr="30493BEA" w:rsidR="00814673">
        <w:rPr>
          <w:color w:val="000000" w:themeColor="text1" w:themeTint="FF" w:themeShade="FF"/>
        </w:rPr>
        <w:t xml:space="preserve">to the proceeding. All papers should be a </w:t>
      </w:r>
      <w:r w:rsidRPr="30493BEA" w:rsidR="00814673">
        <w:rPr>
          <w:i w:val="1"/>
          <w:iCs w:val="1"/>
          <w:color w:val="000000" w:themeColor="text1" w:themeTint="FF" w:themeShade="FF"/>
        </w:rPr>
        <w:t>minimum</w:t>
      </w:r>
      <w:r w:rsidRPr="30493BEA" w:rsidR="00814673">
        <w:rPr>
          <w:color w:val="000000" w:themeColor="text1" w:themeTint="FF" w:themeShade="FF"/>
        </w:rPr>
        <w:t xml:space="preserve"> of 1000 words and should not exceed the maximum of 2000 words. Please not</w:t>
      </w:r>
      <w:r w:rsidRPr="30493BEA" w:rsidR="00D925B5">
        <w:rPr>
          <w:color w:val="000000" w:themeColor="text1" w:themeTint="FF" w:themeShade="FF"/>
        </w:rPr>
        <w:t>e</w:t>
      </w:r>
      <w:r w:rsidRPr="30493BEA" w:rsidR="00814673">
        <w:rPr>
          <w:color w:val="000000" w:themeColor="text1" w:themeTint="FF" w:themeShade="FF"/>
        </w:rPr>
        <w:t xml:space="preserve"> that the word count also includes references. Publication of a paper in the proceedings will be contingent upon the following:</w:t>
      </w:r>
    </w:p>
    <w:p w:rsidRPr="00814673" w:rsidR="00814673" w:rsidP="00814673" w:rsidRDefault="00814673" w14:paraId="41AA3B51" w14:textId="24840525">
      <w:pPr>
        <w:numPr>
          <w:ilvl w:val="0"/>
          <w:numId w:val="2"/>
        </w:numPr>
        <w:pBdr>
          <w:top w:val="nil"/>
          <w:left w:val="nil"/>
          <w:bottom w:val="nil"/>
          <w:right w:val="nil"/>
          <w:between w:val="nil"/>
        </w:pBdr>
        <w:spacing w:before="60" w:after="60"/>
        <w:jc w:val="both"/>
      </w:pPr>
      <w:r>
        <w:rPr>
          <w:color w:val="000000"/>
          <w:szCs w:val="20"/>
        </w:rPr>
        <w:t xml:space="preserve">Preparing a paper based on this provided </w:t>
      </w:r>
      <w:r w:rsidR="00DE245C">
        <w:rPr>
          <w:color w:val="000000"/>
          <w:szCs w:val="20"/>
        </w:rPr>
        <w:t>template.</w:t>
      </w:r>
    </w:p>
    <w:p w:rsidRPr="00814673" w:rsidR="00814673" w:rsidP="00814673" w:rsidRDefault="00814673" w14:paraId="26519DD7" w14:textId="6A82DE11">
      <w:pPr>
        <w:numPr>
          <w:ilvl w:val="0"/>
          <w:numId w:val="2"/>
        </w:numPr>
        <w:pBdr>
          <w:top w:val="nil"/>
          <w:left w:val="nil"/>
          <w:bottom w:val="nil"/>
          <w:right w:val="nil"/>
          <w:between w:val="nil"/>
        </w:pBdr>
        <w:spacing w:before="60" w:after="60"/>
        <w:jc w:val="both"/>
      </w:pPr>
      <w:r>
        <w:rPr>
          <w:color w:val="000000"/>
          <w:szCs w:val="20"/>
        </w:rPr>
        <w:t xml:space="preserve">Ensuring that the submitted paper does not go above 2000 </w:t>
      </w:r>
      <w:r w:rsidR="00DE245C">
        <w:rPr>
          <w:color w:val="000000"/>
          <w:szCs w:val="20"/>
        </w:rPr>
        <w:t>words</w:t>
      </w:r>
      <w:r w:rsidR="00D925B5">
        <w:rPr>
          <w:color w:val="000000"/>
          <w:szCs w:val="20"/>
        </w:rPr>
        <w:t xml:space="preserve"> and the file is less than 5MB in size</w:t>
      </w:r>
      <w:r w:rsidR="00DE245C">
        <w:rPr>
          <w:color w:val="000000"/>
          <w:szCs w:val="20"/>
        </w:rPr>
        <w:t>.</w:t>
      </w:r>
    </w:p>
    <w:p w:rsidRPr="00814673" w:rsidR="00814673" w:rsidP="30493BEA" w:rsidRDefault="00814673" w14:paraId="4FBC6D55" w14:noSpellErr="1" w14:textId="60DBC430">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before="60" w:after="60"/>
        <w:jc w:val="both"/>
        <w:rPr/>
      </w:pPr>
      <w:r w:rsidRPr="30493BEA" w:rsidR="00814673">
        <w:rPr>
          <w:color w:val="000000" w:themeColor="text1" w:themeTint="FF" w:themeShade="FF"/>
        </w:rPr>
        <w:t xml:space="preserve">Submitting the paper on or before </w:t>
      </w:r>
      <w:r w:rsidRPr="30493BEA" w:rsidR="00C07224">
        <w:rPr>
          <w:b w:val="1"/>
          <w:bCs w:val="1"/>
          <w:color w:val="000000" w:themeColor="text1" w:themeTint="FF" w:themeShade="FF"/>
        </w:rPr>
        <w:t>1</w:t>
      </w:r>
      <w:r w:rsidRPr="30493BEA" w:rsidR="6182FD0C">
        <w:rPr>
          <w:b w:val="1"/>
          <w:bCs w:val="1"/>
          <w:color w:val="000000" w:themeColor="text1" w:themeTint="FF" w:themeShade="FF"/>
        </w:rPr>
        <w:t>7</w:t>
      </w:r>
      <w:r w:rsidRPr="30493BEA" w:rsidR="00D925B5">
        <w:rPr>
          <w:b w:val="1"/>
          <w:bCs w:val="1"/>
          <w:color w:val="000000" w:themeColor="text1" w:themeTint="FF" w:themeShade="FF"/>
        </w:rPr>
        <w:t xml:space="preserve"> </w:t>
      </w:r>
      <w:r w:rsidRPr="30493BEA" w:rsidR="00C07224">
        <w:rPr>
          <w:b w:val="1"/>
          <w:bCs w:val="1"/>
          <w:color w:val="000000" w:themeColor="text1" w:themeTint="FF" w:themeShade="FF"/>
        </w:rPr>
        <w:t>November</w:t>
      </w:r>
      <w:r w:rsidRPr="30493BEA" w:rsidR="00814673">
        <w:rPr>
          <w:b w:val="1"/>
          <w:bCs w:val="1"/>
          <w:color w:val="000000" w:themeColor="text1" w:themeTint="FF" w:themeShade="FF"/>
        </w:rPr>
        <w:t xml:space="preserve"> 202</w:t>
      </w:r>
      <w:r w:rsidRPr="30493BEA" w:rsidR="33DE66F1">
        <w:rPr>
          <w:b w:val="1"/>
          <w:bCs w:val="1"/>
          <w:color w:val="000000" w:themeColor="text1" w:themeTint="FF" w:themeShade="FF"/>
        </w:rPr>
        <w:t>5</w:t>
      </w:r>
      <w:r w:rsidRPr="30493BEA" w:rsidR="00814673">
        <w:rPr>
          <w:b w:val="1"/>
          <w:bCs w:val="1"/>
          <w:color w:val="000000" w:themeColor="text1" w:themeTint="FF" w:themeShade="FF"/>
        </w:rPr>
        <w:t xml:space="preserve"> at 11:59pm EST</w:t>
      </w:r>
    </w:p>
    <w:p w:rsidRPr="00C07224" w:rsidR="00C07224" w:rsidP="30493BEA" w:rsidRDefault="00C07224" w14:paraId="090F3C71" w14:noSpellErr="1" w14:textId="2BE2B15B">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before="60" w:after="60"/>
        <w:jc w:val="both"/>
        <w:rPr/>
      </w:pPr>
      <w:r w:rsidR="00C07224">
        <w:rPr/>
        <w:t xml:space="preserve">Responding to editor feedback </w:t>
      </w:r>
      <w:r w:rsidR="00C07224">
        <w:rPr/>
        <w:t>disseminated</w:t>
      </w:r>
      <w:r w:rsidR="00C07224">
        <w:rPr/>
        <w:t xml:space="preserve"> on or before </w:t>
      </w:r>
      <w:r w:rsidRPr="30493BEA" w:rsidR="6ED62A62">
        <w:rPr>
          <w:b w:val="1"/>
          <w:bCs w:val="1"/>
        </w:rPr>
        <w:t>14</w:t>
      </w:r>
      <w:r w:rsidRPr="30493BEA" w:rsidR="00C07224">
        <w:rPr>
          <w:b w:val="1"/>
          <w:bCs w:val="1"/>
        </w:rPr>
        <w:t xml:space="preserve"> </w:t>
      </w:r>
      <w:r w:rsidRPr="30493BEA" w:rsidR="56391053">
        <w:rPr>
          <w:b w:val="1"/>
          <w:bCs w:val="1"/>
        </w:rPr>
        <w:t xml:space="preserve">January </w:t>
      </w:r>
      <w:r w:rsidRPr="30493BEA" w:rsidR="00C07224">
        <w:rPr>
          <w:b w:val="1"/>
          <w:bCs w:val="1"/>
        </w:rPr>
        <w:t>202</w:t>
      </w:r>
      <w:r w:rsidRPr="30493BEA" w:rsidR="6C14C157">
        <w:rPr>
          <w:b w:val="1"/>
          <w:bCs w:val="1"/>
        </w:rPr>
        <w:t>5</w:t>
      </w:r>
      <w:r w:rsidRPr="30493BEA" w:rsidR="00C07224">
        <w:rPr>
          <w:b w:val="1"/>
          <w:bCs w:val="1"/>
        </w:rPr>
        <w:t xml:space="preserve"> at 11:59pm EST</w:t>
      </w:r>
    </w:p>
    <w:p w:rsidRPr="00C07224" w:rsidR="00814673" w:rsidP="30493BEA" w:rsidRDefault="00814673" w14:paraId="196C5A45" w14:noSpellErr="1" w14:textId="7F5FEF02">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before="60" w:after="60"/>
        <w:jc w:val="both"/>
        <w:rPr/>
      </w:pPr>
      <w:r w:rsidRPr="30493BEA" w:rsidR="00814673">
        <w:rPr>
          <w:color w:val="000000" w:themeColor="text1" w:themeTint="FF" w:themeShade="FF"/>
        </w:rPr>
        <w:t>Submitting</w:t>
      </w:r>
      <w:r w:rsidRPr="30493BEA" w:rsidR="00DE245C">
        <w:rPr>
          <w:color w:val="000000" w:themeColor="text1" w:themeTint="FF" w:themeShade="FF"/>
        </w:rPr>
        <w:t xml:space="preserve"> the</w:t>
      </w:r>
      <w:r w:rsidRPr="30493BEA" w:rsidR="00814673">
        <w:rPr>
          <w:color w:val="000000" w:themeColor="text1" w:themeTint="FF" w:themeShade="FF"/>
        </w:rPr>
        <w:t xml:space="preserve"> final </w:t>
      </w:r>
      <w:r w:rsidRPr="30493BEA" w:rsidR="002B7D27">
        <w:rPr>
          <w:color w:val="000000" w:themeColor="text1" w:themeTint="FF" w:themeShade="FF"/>
        </w:rPr>
        <w:t>camera-ready</w:t>
      </w:r>
      <w:r w:rsidRPr="30493BEA" w:rsidR="00814673">
        <w:rPr>
          <w:color w:val="000000" w:themeColor="text1" w:themeTint="FF" w:themeShade="FF"/>
        </w:rPr>
        <w:t xml:space="preserve"> paper on or before </w:t>
      </w:r>
      <w:r w:rsidRPr="30493BEA" w:rsidR="3061623D">
        <w:rPr>
          <w:b w:val="1"/>
          <w:bCs w:val="1"/>
          <w:color w:val="000000" w:themeColor="text1" w:themeTint="FF" w:themeShade="FF"/>
        </w:rPr>
        <w:t>14</w:t>
      </w:r>
      <w:r w:rsidRPr="30493BEA" w:rsidR="00C07224">
        <w:rPr>
          <w:b w:val="1"/>
          <w:bCs w:val="1"/>
        </w:rPr>
        <w:t xml:space="preserve"> </w:t>
      </w:r>
      <w:r w:rsidRPr="30493BEA" w:rsidR="0687DC1E">
        <w:rPr>
          <w:b w:val="1"/>
          <w:bCs w:val="1"/>
        </w:rPr>
        <w:t xml:space="preserve">February </w:t>
      </w:r>
      <w:r w:rsidRPr="30493BEA" w:rsidR="00C07224">
        <w:rPr>
          <w:b w:val="1"/>
          <w:bCs w:val="1"/>
        </w:rPr>
        <w:t>202</w:t>
      </w:r>
      <w:r w:rsidRPr="30493BEA" w:rsidR="23F40D5A">
        <w:rPr>
          <w:b w:val="1"/>
          <w:bCs w:val="1"/>
        </w:rPr>
        <w:t>6</w:t>
      </w:r>
      <w:r w:rsidRPr="30493BEA" w:rsidR="00814673">
        <w:rPr>
          <w:b w:val="1"/>
          <w:bCs w:val="1"/>
        </w:rPr>
        <w:t xml:space="preserve"> </w:t>
      </w:r>
      <w:r w:rsidRPr="30493BEA" w:rsidR="00814673">
        <w:rPr>
          <w:b w:val="1"/>
          <w:bCs w:val="1"/>
          <w:color w:val="000000" w:themeColor="text1" w:themeTint="FF" w:themeShade="FF"/>
        </w:rPr>
        <w:t>at 11:59pm EST</w:t>
      </w:r>
      <w:r w:rsidRPr="30493BEA" w:rsidR="00DE245C">
        <w:rPr>
          <w:color w:val="000000" w:themeColor="text1" w:themeTint="FF" w:themeShade="FF"/>
        </w:rPr>
        <w:t xml:space="preserve">, that incorporates reviewer </w:t>
      </w:r>
      <w:r w:rsidRPr="30493BEA" w:rsidR="00D925B5">
        <w:rPr>
          <w:color w:val="000000" w:themeColor="text1" w:themeTint="FF" w:themeShade="FF"/>
        </w:rPr>
        <w:t>feedback</w:t>
      </w:r>
    </w:p>
    <w:p w:rsidRPr="00814673" w:rsidR="00C07224" w:rsidP="00814673" w:rsidRDefault="00C07224" w14:paraId="5D939297" w14:textId="0B7F31B1">
      <w:pPr>
        <w:numPr>
          <w:ilvl w:val="0"/>
          <w:numId w:val="2"/>
        </w:numPr>
        <w:pBdr>
          <w:top w:val="nil"/>
          <w:left w:val="nil"/>
          <w:bottom w:val="nil"/>
          <w:right w:val="nil"/>
          <w:between w:val="nil"/>
        </w:pBdr>
        <w:spacing w:before="60" w:after="60"/>
        <w:jc w:val="both"/>
      </w:pPr>
      <w:r>
        <w:rPr>
          <w:color w:val="000000"/>
          <w:szCs w:val="20"/>
        </w:rPr>
        <w:t>Responding to copyediting inquiries within 10 days of notice</w:t>
      </w:r>
    </w:p>
    <w:p w:rsidRPr="00814673" w:rsidR="00814673" w:rsidP="00DE245C" w:rsidRDefault="00814673" w14:paraId="501C7400" w14:textId="4C049DFE">
      <w:pPr>
        <w:pBdr>
          <w:top w:val="nil"/>
          <w:left w:val="nil"/>
          <w:bottom w:val="nil"/>
          <w:right w:val="nil"/>
          <w:between w:val="nil"/>
        </w:pBdr>
        <w:spacing w:before="60" w:after="60"/>
        <w:jc w:val="both"/>
      </w:pPr>
    </w:p>
    <w:p w:rsidR="00814673" w:rsidP="00814673" w:rsidRDefault="00DE245C" w14:paraId="1AE9D60D" w14:noSpellErr="1" w14:textId="66A84297">
      <w:r w:rsidRPr="30493BEA" w:rsidR="00DE245C">
        <w:rPr>
          <w:color w:val="000000" w:themeColor="text1" w:themeTint="FF" w:themeShade="FF"/>
        </w:rPr>
        <w:t>The</w:t>
      </w:r>
      <w:r w:rsidRPr="30493BEA" w:rsidR="00D925B5">
        <w:rPr>
          <w:color w:val="000000" w:themeColor="text1" w:themeTint="FF" w:themeShade="FF"/>
        </w:rPr>
        <w:t xml:space="preserve"> </w:t>
      </w:r>
      <w:r w:rsidRPr="30493BEA" w:rsidR="00DE245C">
        <w:rPr>
          <w:color w:val="000000" w:themeColor="text1" w:themeTint="FF" w:themeShade="FF"/>
        </w:rPr>
        <w:t xml:space="preserve">AECT proceedings </w:t>
      </w:r>
      <w:r w:rsidRPr="30493BEA" w:rsidR="00D925B5">
        <w:rPr>
          <w:color w:val="000000" w:themeColor="text1" w:themeTint="FF" w:themeShade="FF"/>
        </w:rPr>
        <w:t xml:space="preserve">are </w:t>
      </w:r>
      <w:r w:rsidRPr="30493BEA" w:rsidR="00D925B5">
        <w:rPr>
          <w:i w:val="1"/>
          <w:iCs w:val="1"/>
          <w:color w:val="000000" w:themeColor="text1" w:themeTint="FF" w:themeShade="FF"/>
        </w:rPr>
        <w:t>expected</w:t>
      </w:r>
      <w:r w:rsidRPr="30493BEA" w:rsidR="00D925B5">
        <w:rPr>
          <w:color w:val="000000" w:themeColor="text1" w:themeTint="FF" w:themeShade="FF"/>
        </w:rPr>
        <w:t xml:space="preserve"> to </w:t>
      </w:r>
      <w:r w:rsidRPr="30493BEA" w:rsidR="00DE245C">
        <w:rPr>
          <w:color w:val="000000" w:themeColor="text1" w:themeTint="FF" w:themeShade="FF"/>
        </w:rPr>
        <w:t xml:space="preserve">be available </w:t>
      </w:r>
      <w:r w:rsidRPr="30493BEA" w:rsidR="00C07224">
        <w:rPr>
          <w:b w:val="1"/>
          <w:bCs w:val="1"/>
          <w:color w:val="000000" w:themeColor="text1" w:themeTint="FF" w:themeShade="FF"/>
        </w:rPr>
        <w:t>April/May 202</w:t>
      </w:r>
      <w:r w:rsidRPr="30493BEA" w:rsidR="30A4A7B9">
        <w:rPr>
          <w:b w:val="1"/>
          <w:bCs w:val="1"/>
          <w:color w:val="000000" w:themeColor="text1" w:themeTint="FF" w:themeShade="FF"/>
        </w:rPr>
        <w:t>6</w:t>
      </w:r>
      <w:r w:rsidR="00D925B5">
        <w:rPr/>
        <w:t>.</w:t>
      </w:r>
    </w:p>
    <w:p w:rsidR="002C6AB1" w:rsidP="002C6AB1" w:rsidRDefault="002C6AB1" w14:paraId="7EAD8EA1" w14:textId="6E9AFCCA">
      <w:pPr>
        <w:pBdr>
          <w:top w:val="nil"/>
          <w:left w:val="nil"/>
          <w:bottom w:val="nil"/>
          <w:right w:val="nil"/>
          <w:between w:val="nil"/>
        </w:pBdr>
        <w:jc w:val="both"/>
        <w:rPr>
          <w:color w:val="000000"/>
          <w:szCs w:val="20"/>
        </w:rPr>
      </w:pPr>
    </w:p>
    <w:p w:rsidR="002C6AB1" w:rsidP="002C6AB1" w:rsidRDefault="00A52A50" w14:paraId="6345BDBB" w14:textId="08202DC6">
      <w:pPr>
        <w:pStyle w:val="Heading3"/>
        <w:rPr>
          <w:color w:val="000000"/>
        </w:rPr>
      </w:pPr>
      <w:r>
        <w:rPr>
          <w:color w:val="000000"/>
        </w:rPr>
        <w:t>R</w:t>
      </w:r>
      <w:r w:rsidR="002C6AB1">
        <w:rPr>
          <w:color w:val="000000"/>
        </w:rPr>
        <w:t>eview</w:t>
      </w:r>
      <w:r>
        <w:rPr>
          <w:color w:val="000000"/>
        </w:rPr>
        <w:t>s</w:t>
      </w:r>
      <w:r w:rsidR="002C6AB1">
        <w:rPr>
          <w:color w:val="000000"/>
        </w:rPr>
        <w:t xml:space="preserve"> for p</w:t>
      </w:r>
      <w:r>
        <w:rPr>
          <w:color w:val="000000"/>
        </w:rPr>
        <w:t>roceeding submission</w:t>
      </w:r>
      <w:r w:rsidR="002C6AB1">
        <w:rPr>
          <w:color w:val="000000"/>
        </w:rPr>
        <w:t>s</w:t>
      </w:r>
    </w:p>
    <w:p w:rsidR="002C6AB1" w:rsidP="00A52A50" w:rsidRDefault="00A52A50" w14:paraId="74336833" w14:textId="342BF49F">
      <w:pPr>
        <w:pBdr>
          <w:top w:val="nil"/>
          <w:left w:val="nil"/>
          <w:bottom w:val="nil"/>
          <w:right w:val="nil"/>
          <w:between w:val="nil"/>
        </w:pBdr>
        <w:jc w:val="both"/>
      </w:pPr>
      <w:r>
        <w:rPr>
          <w:color w:val="000000"/>
          <w:szCs w:val="20"/>
        </w:rPr>
        <w:lastRenderedPageBreak/>
        <w:t xml:space="preserve">Since the proceeding submissions are based on already peer reviewed submissions, </w:t>
      </w:r>
      <w:r w:rsidR="00C3411B">
        <w:rPr>
          <w:color w:val="000000"/>
          <w:szCs w:val="20"/>
        </w:rPr>
        <w:t xml:space="preserve">there </w:t>
      </w:r>
      <w:r>
        <w:rPr>
          <w:color w:val="000000"/>
          <w:szCs w:val="20"/>
        </w:rPr>
        <w:t xml:space="preserve">will be no need for a double blind review at this stage. We will use </w:t>
      </w:r>
      <w:r w:rsidR="00C07224">
        <w:rPr>
          <w:color w:val="000000"/>
          <w:szCs w:val="20"/>
        </w:rPr>
        <w:t>an editorial</w:t>
      </w:r>
      <w:r>
        <w:rPr>
          <w:color w:val="000000"/>
          <w:szCs w:val="20"/>
        </w:rPr>
        <w:t xml:space="preserve"> review process </w:t>
      </w:r>
      <w:r w:rsidR="00C07224">
        <w:rPr>
          <w:color w:val="000000"/>
          <w:szCs w:val="20"/>
        </w:rPr>
        <w:t>at this stage</w:t>
      </w:r>
      <w:r w:rsidR="002C6AB1">
        <w:rPr>
          <w:color w:val="000000"/>
          <w:szCs w:val="20"/>
        </w:rPr>
        <w:t xml:space="preserve">. </w:t>
      </w:r>
    </w:p>
    <w:p w:rsidR="002C6AB1" w:rsidP="002C6AB1" w:rsidRDefault="002C6AB1" w14:paraId="733152BA" w14:textId="77777777">
      <w:pPr>
        <w:pStyle w:val="Heading3"/>
      </w:pPr>
      <w:r>
        <w:t>Extended quotations</w:t>
      </w:r>
    </w:p>
    <w:p w:rsidR="002C6AB1" w:rsidP="002C6AB1" w:rsidRDefault="002C6AB1" w14:paraId="463FA07B" w14:textId="77777777">
      <w:pPr>
        <w:pBdr>
          <w:top w:val="nil"/>
          <w:left w:val="nil"/>
          <w:bottom w:val="nil"/>
          <w:right w:val="nil"/>
          <w:between w:val="nil"/>
        </w:pBdr>
        <w:jc w:val="both"/>
        <w:rPr>
          <w:color w:val="000000"/>
          <w:szCs w:val="20"/>
        </w:rPr>
      </w:pPr>
      <w:r>
        <w:rPr>
          <w:color w:val="000000"/>
          <w:szCs w:val="20"/>
        </w:rPr>
        <w:t>For extended quotes from source material, use style “Block Text,” Times or Times New Roman 10-pt., and indent the quote 1.27</w:t>
      </w:r>
      <w:r>
        <w:t xml:space="preserve"> </w:t>
      </w:r>
      <w:r>
        <w:rPr>
          <w:color w:val="000000"/>
          <w:szCs w:val="20"/>
        </w:rPr>
        <w:t>cm (0.5 inches) from both the left and right margins. “Full justify” the text for the extended quote. The extended quote should be preceded and followed by one 10-pt. blank line.</w:t>
      </w:r>
    </w:p>
    <w:p w:rsidR="002C6AB1" w:rsidP="002C6AB1" w:rsidRDefault="002C6AB1" w14:paraId="11FC72B7" w14:textId="77777777">
      <w:pPr>
        <w:pBdr>
          <w:top w:val="nil"/>
          <w:left w:val="nil"/>
          <w:bottom w:val="nil"/>
          <w:right w:val="nil"/>
          <w:between w:val="nil"/>
        </w:pBdr>
        <w:jc w:val="both"/>
        <w:rPr>
          <w:color w:val="000000"/>
          <w:szCs w:val="20"/>
        </w:rPr>
      </w:pPr>
    </w:p>
    <w:p w:rsidR="002C6AB1" w:rsidP="002C6AB1" w:rsidRDefault="002C6AB1" w14:paraId="1CC99CC4" w14:textId="77777777">
      <w:pPr>
        <w:pBdr>
          <w:top w:val="nil"/>
          <w:left w:val="nil"/>
          <w:bottom w:val="nil"/>
          <w:right w:val="nil"/>
          <w:between w:val="nil"/>
        </w:pBdr>
        <w:ind w:left="720" w:right="720"/>
        <w:jc w:val="both"/>
        <w:rPr>
          <w:color w:val="000000"/>
          <w:szCs w:val="20"/>
        </w:rPr>
      </w:pPr>
      <w:r>
        <w:rPr>
          <w:color w:val="000000"/>
          <w:szCs w:val="20"/>
        </w:rPr>
        <w:t xml:space="preserve">Education thus becomes an act of depositing, in which the students are the </w:t>
      </w:r>
      <w:proofErr w:type="gramStart"/>
      <w:r>
        <w:rPr>
          <w:color w:val="000000"/>
          <w:szCs w:val="20"/>
        </w:rPr>
        <w:t>depositories</w:t>
      </w:r>
      <w:proofErr w:type="gramEnd"/>
      <w:r>
        <w:rPr>
          <w:color w:val="000000"/>
          <w:szCs w:val="20"/>
        </w:rPr>
        <w:t xml:space="preserve"> and the teacher is the depositor. Instead of communicating, the teacher issues communiques and makes deposits which the students patiently receive, memorize, and repeat. This is the “banking” concept of education, in which the scope of action allowed to the students extends only as far as receiving, filing, and storing the deposits. (Freire, 1970, p. 49)</w:t>
      </w:r>
    </w:p>
    <w:p w:rsidR="002C6AB1" w:rsidP="002C6AB1" w:rsidRDefault="002C6AB1" w14:paraId="7D8FCD36" w14:textId="77777777">
      <w:pPr>
        <w:pStyle w:val="Heading3"/>
      </w:pPr>
      <w:r>
        <w:t>Figures and tables</w:t>
      </w:r>
    </w:p>
    <w:p w:rsidR="002C6AB1" w:rsidP="002C6AB1" w:rsidRDefault="002C6AB1" w14:paraId="10C091CC" w14:textId="77777777">
      <w:pPr>
        <w:pBdr>
          <w:top w:val="nil"/>
          <w:left w:val="nil"/>
          <w:bottom w:val="nil"/>
          <w:right w:val="nil"/>
          <w:between w:val="nil"/>
        </w:pBdr>
        <w:jc w:val="both"/>
        <w:rPr>
          <w:color w:val="000000"/>
          <w:szCs w:val="20"/>
        </w:rPr>
      </w:pPr>
      <w:r>
        <w:rPr>
          <w:color w:val="000000"/>
          <w:szCs w:val="20"/>
        </w:rPr>
        <w:t>All figures and tables must be referred to in your text (see Table 1). Color figures may be included (see Figure 1). All figures and tables should be centered. The number and title should be left-justified aligned with the table or figure themselves as shown below.</w:t>
      </w:r>
    </w:p>
    <w:p w:rsidR="002C6AB1" w:rsidP="002C6AB1" w:rsidRDefault="002C6AB1" w14:paraId="46A5F848" w14:textId="77777777">
      <w:pPr>
        <w:rPr>
          <w:u w:val="single"/>
        </w:rPr>
      </w:pPr>
    </w:p>
    <w:p w:rsidR="002C6AB1" w:rsidP="002C6AB1" w:rsidRDefault="002C6AB1" w14:paraId="6832AC55" w14:textId="77777777">
      <w:pPr>
        <w:ind w:left="1129"/>
        <w:rPr>
          <w:b/>
        </w:rPr>
      </w:pPr>
      <w:r>
        <w:rPr>
          <w:b/>
        </w:rPr>
        <w:t xml:space="preserve">Table 1 </w:t>
      </w:r>
    </w:p>
    <w:p w:rsidR="002C6AB1" w:rsidP="002C6AB1" w:rsidRDefault="002C6AB1" w14:paraId="7B0A3256" w14:textId="37406043">
      <w:pPr>
        <w:ind w:left="1129"/>
        <w:rPr>
          <w:i/>
        </w:rPr>
      </w:pPr>
      <w:r>
        <w:rPr>
          <w:i/>
        </w:rPr>
        <w:t>An Example of a Table for the AECT Proceedings</w:t>
      </w:r>
    </w:p>
    <w:tbl>
      <w:tblPr>
        <w:tblW w:w="6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00"/>
        <w:gridCol w:w="1846"/>
        <w:gridCol w:w="1846"/>
        <w:gridCol w:w="1847"/>
      </w:tblGrid>
      <w:tr w:rsidR="002C6AB1" w:rsidTr="00971809" w14:paraId="7510B3DD" w14:textId="77777777">
        <w:trPr>
          <w:jc w:val="center"/>
        </w:trPr>
        <w:tc>
          <w:tcPr>
            <w:tcW w:w="1200" w:type="dxa"/>
            <w:tcBorders>
              <w:left w:val="nil"/>
              <w:right w:val="nil"/>
            </w:tcBorders>
          </w:tcPr>
          <w:p w:rsidR="002C6AB1" w:rsidP="00971809" w:rsidRDefault="002C6AB1" w14:paraId="5139F7F0" w14:textId="77777777"/>
        </w:tc>
        <w:tc>
          <w:tcPr>
            <w:tcW w:w="1846" w:type="dxa"/>
            <w:tcBorders>
              <w:left w:val="nil"/>
              <w:right w:val="nil"/>
            </w:tcBorders>
          </w:tcPr>
          <w:p w:rsidR="002C6AB1" w:rsidP="00971809" w:rsidRDefault="002C6AB1" w14:paraId="37E9A534" w14:textId="77777777">
            <w:pPr>
              <w:jc w:val="center"/>
            </w:pPr>
            <w:r>
              <w:t>Heading 1</w:t>
            </w:r>
          </w:p>
        </w:tc>
        <w:tc>
          <w:tcPr>
            <w:tcW w:w="1846" w:type="dxa"/>
            <w:tcBorders>
              <w:left w:val="nil"/>
              <w:right w:val="nil"/>
            </w:tcBorders>
          </w:tcPr>
          <w:p w:rsidR="002C6AB1" w:rsidP="00971809" w:rsidRDefault="002C6AB1" w14:paraId="19738EC4" w14:textId="77777777">
            <w:pPr>
              <w:jc w:val="center"/>
            </w:pPr>
            <w:r>
              <w:t>Heading 2</w:t>
            </w:r>
          </w:p>
        </w:tc>
        <w:tc>
          <w:tcPr>
            <w:tcW w:w="1847" w:type="dxa"/>
            <w:tcBorders>
              <w:left w:val="nil"/>
              <w:right w:val="nil"/>
            </w:tcBorders>
          </w:tcPr>
          <w:p w:rsidR="002C6AB1" w:rsidP="00971809" w:rsidRDefault="002C6AB1" w14:paraId="0138A4A3" w14:textId="77777777">
            <w:pPr>
              <w:jc w:val="center"/>
            </w:pPr>
            <w:r>
              <w:t>Heading 3</w:t>
            </w:r>
          </w:p>
        </w:tc>
      </w:tr>
      <w:tr w:rsidR="002C6AB1" w:rsidTr="00971809" w14:paraId="200A47EC" w14:textId="77777777">
        <w:trPr>
          <w:jc w:val="center"/>
        </w:trPr>
        <w:tc>
          <w:tcPr>
            <w:tcW w:w="1200" w:type="dxa"/>
            <w:tcBorders>
              <w:left w:val="nil"/>
              <w:bottom w:val="nil"/>
              <w:right w:val="nil"/>
            </w:tcBorders>
          </w:tcPr>
          <w:p w:rsidR="002C6AB1" w:rsidP="00971809" w:rsidRDefault="002C6AB1" w14:paraId="1CD11D66" w14:textId="77777777">
            <w:pPr>
              <w:jc w:val="center"/>
            </w:pPr>
            <w:r>
              <w:t>Row 1</w:t>
            </w:r>
          </w:p>
        </w:tc>
        <w:tc>
          <w:tcPr>
            <w:tcW w:w="1846" w:type="dxa"/>
            <w:tcBorders>
              <w:left w:val="nil"/>
              <w:bottom w:val="nil"/>
              <w:right w:val="nil"/>
            </w:tcBorders>
          </w:tcPr>
          <w:p w:rsidR="002C6AB1" w:rsidP="00971809" w:rsidRDefault="002C6AB1" w14:paraId="1D619784" w14:textId="77777777">
            <w:pPr>
              <w:jc w:val="center"/>
            </w:pPr>
            <w:r>
              <w:t>Cell 1</w:t>
            </w:r>
          </w:p>
        </w:tc>
        <w:tc>
          <w:tcPr>
            <w:tcW w:w="1846" w:type="dxa"/>
            <w:tcBorders>
              <w:left w:val="nil"/>
              <w:bottom w:val="nil"/>
              <w:right w:val="nil"/>
            </w:tcBorders>
          </w:tcPr>
          <w:p w:rsidR="002C6AB1" w:rsidP="00971809" w:rsidRDefault="002C6AB1" w14:paraId="43FE650A" w14:textId="77777777">
            <w:pPr>
              <w:jc w:val="center"/>
            </w:pPr>
            <w:r>
              <w:t>Cell 2</w:t>
            </w:r>
          </w:p>
        </w:tc>
        <w:tc>
          <w:tcPr>
            <w:tcW w:w="1847" w:type="dxa"/>
            <w:tcBorders>
              <w:left w:val="nil"/>
              <w:bottom w:val="nil"/>
              <w:right w:val="nil"/>
            </w:tcBorders>
          </w:tcPr>
          <w:p w:rsidR="002C6AB1" w:rsidP="00971809" w:rsidRDefault="002C6AB1" w14:paraId="1177126B" w14:textId="77777777">
            <w:pPr>
              <w:jc w:val="center"/>
            </w:pPr>
            <w:r>
              <w:t>Cell 3</w:t>
            </w:r>
          </w:p>
        </w:tc>
      </w:tr>
      <w:tr w:rsidR="002C6AB1" w:rsidTr="00971809" w14:paraId="6C69EE6F" w14:textId="77777777">
        <w:trPr>
          <w:jc w:val="center"/>
        </w:trPr>
        <w:tc>
          <w:tcPr>
            <w:tcW w:w="1200" w:type="dxa"/>
            <w:tcBorders>
              <w:top w:val="nil"/>
              <w:left w:val="nil"/>
              <w:right w:val="nil"/>
            </w:tcBorders>
          </w:tcPr>
          <w:p w:rsidR="002C6AB1" w:rsidP="00971809" w:rsidRDefault="002C6AB1" w14:paraId="4575F34A" w14:textId="77777777">
            <w:pPr>
              <w:jc w:val="center"/>
            </w:pPr>
            <w:r>
              <w:t>Row 2</w:t>
            </w:r>
          </w:p>
        </w:tc>
        <w:tc>
          <w:tcPr>
            <w:tcW w:w="1846" w:type="dxa"/>
            <w:tcBorders>
              <w:top w:val="nil"/>
              <w:left w:val="nil"/>
              <w:right w:val="nil"/>
            </w:tcBorders>
          </w:tcPr>
          <w:p w:rsidR="002C6AB1" w:rsidP="00971809" w:rsidRDefault="002C6AB1" w14:paraId="59032D75" w14:textId="77777777">
            <w:pPr>
              <w:jc w:val="center"/>
            </w:pPr>
            <w:r>
              <w:t>Cell 4</w:t>
            </w:r>
          </w:p>
        </w:tc>
        <w:tc>
          <w:tcPr>
            <w:tcW w:w="1846" w:type="dxa"/>
            <w:tcBorders>
              <w:top w:val="nil"/>
              <w:left w:val="nil"/>
              <w:right w:val="nil"/>
            </w:tcBorders>
          </w:tcPr>
          <w:p w:rsidR="002C6AB1" w:rsidP="00971809" w:rsidRDefault="002C6AB1" w14:paraId="69F3B798" w14:textId="77777777">
            <w:pPr>
              <w:jc w:val="center"/>
            </w:pPr>
            <w:r>
              <w:t>Cell 5</w:t>
            </w:r>
          </w:p>
        </w:tc>
        <w:tc>
          <w:tcPr>
            <w:tcW w:w="1847" w:type="dxa"/>
            <w:tcBorders>
              <w:top w:val="nil"/>
              <w:left w:val="nil"/>
              <w:right w:val="nil"/>
            </w:tcBorders>
          </w:tcPr>
          <w:p w:rsidR="002C6AB1" w:rsidP="00971809" w:rsidRDefault="002C6AB1" w14:paraId="45D7371B" w14:textId="77777777">
            <w:pPr>
              <w:jc w:val="center"/>
            </w:pPr>
            <w:r>
              <w:t>Cell 6</w:t>
            </w:r>
          </w:p>
        </w:tc>
      </w:tr>
    </w:tbl>
    <w:p w:rsidR="002C6AB1" w:rsidP="002C6AB1" w:rsidRDefault="002C6AB1" w14:paraId="36ECFA2E" w14:textId="77777777"/>
    <w:p w:rsidR="002C6AB1" w:rsidP="002C6AB1" w:rsidRDefault="002C6AB1" w14:paraId="3C469918" w14:textId="77777777">
      <w:pPr>
        <w:pStyle w:val="Heading3"/>
        <w:spacing w:before="0"/>
        <w:ind w:left="2160" w:firstLine="720"/>
        <w:rPr>
          <w:rFonts w:ascii="Times New Roman" w:hAnsi="Times New Roman" w:cs="Times New Roman"/>
          <w:b/>
          <w:u w:val="none"/>
        </w:rPr>
      </w:pPr>
      <w:bookmarkStart w:name="_heading=h.16bfjr6sm7we" w:colFirst="0" w:colLast="0" w:id="0"/>
      <w:bookmarkEnd w:id="0"/>
      <w:r>
        <w:rPr>
          <w:rFonts w:ascii="Times New Roman" w:hAnsi="Times New Roman" w:cs="Times New Roman"/>
          <w:b/>
          <w:u w:val="none"/>
        </w:rPr>
        <w:t>Figure 1</w:t>
      </w:r>
    </w:p>
    <w:p w:rsidR="002C6AB1" w:rsidP="002C6AB1" w:rsidRDefault="002C6AB1" w14:paraId="77824C1D" w14:textId="3203451D">
      <w:pPr>
        <w:pStyle w:val="Heading3"/>
        <w:spacing w:before="0"/>
        <w:ind w:left="2160" w:firstLine="720"/>
        <w:rPr>
          <w:i/>
        </w:rPr>
      </w:pPr>
      <w:bookmarkStart w:name="_heading=h.myqjc8tz0nzw" w:colFirst="0" w:colLast="0" w:id="1"/>
      <w:bookmarkEnd w:id="1"/>
      <w:r>
        <w:rPr>
          <w:rFonts w:ascii="Times New Roman" w:hAnsi="Times New Roman" w:cs="Times New Roman"/>
          <w:i/>
          <w:u w:val="none"/>
        </w:rPr>
        <w:t>The AECT Convention Timeline</w:t>
      </w:r>
    </w:p>
    <w:p w:rsidR="002C6AB1" w:rsidP="002C6AB1" w:rsidRDefault="002C6AB1" w14:paraId="5CAEED8B" w14:textId="493E7381">
      <w:pPr>
        <w:pBdr>
          <w:top w:val="nil"/>
          <w:left w:val="nil"/>
          <w:bottom w:val="nil"/>
          <w:right w:val="nil"/>
          <w:between w:val="nil"/>
        </w:pBdr>
        <w:jc w:val="center"/>
        <w:rPr>
          <w:color w:val="000000"/>
          <w:szCs w:val="20"/>
        </w:rPr>
      </w:pPr>
      <w:r>
        <w:rPr>
          <w:noProof/>
          <w:color w:val="000000"/>
          <w:szCs w:val="20"/>
          <w14:ligatures w14:val="standardContextual"/>
        </w:rPr>
        <w:drawing>
          <wp:inline distT="0" distB="0" distL="0" distR="0" wp14:anchorId="52D4779D" wp14:editId="3A5664CC">
            <wp:extent cx="2748810" cy="2061531"/>
            <wp:effectExtent l="0" t="0" r="0" b="0"/>
            <wp:docPr id="414772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72759" name="Picture 4147727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4718" cy="2073462"/>
                    </a:xfrm>
                    <a:prstGeom prst="rect">
                      <a:avLst/>
                    </a:prstGeom>
                  </pic:spPr>
                </pic:pic>
              </a:graphicData>
            </a:graphic>
          </wp:inline>
        </w:drawing>
      </w:r>
    </w:p>
    <w:p w:rsidR="002C6AB1" w:rsidP="002C6AB1" w:rsidRDefault="002C6AB1" w14:paraId="3DDBD4D3" w14:textId="77777777">
      <w:pPr>
        <w:pStyle w:val="Heading3"/>
      </w:pPr>
      <w:r>
        <w:t>Citation and reference style</w:t>
      </w:r>
    </w:p>
    <w:p w:rsidR="002C6AB1" w:rsidP="002C6AB1" w:rsidRDefault="002C6AB1" w14:paraId="358068A3" w14:textId="77777777">
      <w:pPr>
        <w:pBdr>
          <w:top w:val="nil"/>
          <w:left w:val="nil"/>
          <w:bottom w:val="nil"/>
          <w:right w:val="nil"/>
          <w:between w:val="nil"/>
        </w:pBdr>
        <w:jc w:val="both"/>
        <w:rPr>
          <w:color w:val="000000"/>
          <w:szCs w:val="20"/>
        </w:rPr>
      </w:pPr>
      <w:r>
        <w:rPr>
          <w:color w:val="000000"/>
          <w:szCs w:val="20"/>
        </w:rPr>
        <w:t xml:space="preserve">Please refer to the Seventh Edition of the APA Publication Manual for full details and more extensive examples. Regardless of the medium of the source, all sources with three authors or more are now attributed using the name of the first author followed by “et al.” The only exception to this occurs when doing so would create ambiguity (e.g., if two papers have first-listed authors with the same name). In these cases, list as many names as needed to differentiate the papers, followed by “et al.” See examples of </w:t>
      </w:r>
      <w:r>
        <w:t>APA 7th edition below</w:t>
      </w:r>
      <w:r>
        <w:rPr>
          <w:color w:val="000000"/>
          <w:szCs w:val="20"/>
        </w:rPr>
        <w:t>:</w:t>
      </w:r>
    </w:p>
    <w:p w:rsidR="002C6AB1" w:rsidP="002C6AB1" w:rsidRDefault="002C6AB1" w14:paraId="1A3B01B8" w14:textId="77777777">
      <w:pPr>
        <w:pBdr>
          <w:top w:val="nil"/>
          <w:left w:val="nil"/>
          <w:bottom w:val="nil"/>
          <w:right w:val="nil"/>
          <w:between w:val="nil"/>
        </w:pBdr>
        <w:jc w:val="both"/>
        <w:rPr>
          <w:color w:val="000000"/>
          <w:szCs w:val="20"/>
        </w:rPr>
      </w:pPr>
    </w:p>
    <w:p w:rsidR="002C6AB1" w:rsidP="002C6AB1" w:rsidRDefault="002C6AB1" w14:paraId="64BDB4C7" w14:textId="6BEE9631">
      <w:pPr>
        <w:ind w:firstLine="720"/>
      </w:pPr>
      <w:r>
        <w:t>…</w:t>
      </w:r>
      <w:r w:rsidRPr="001E203C" w:rsidR="001E203C">
        <w:t xml:space="preserve"> environment where learning </w:t>
      </w:r>
      <w:r w:rsidR="001E203C">
        <w:t xml:space="preserve">takes </w:t>
      </w:r>
      <w:r w:rsidRPr="001E203C" w:rsidR="001E203C">
        <w:t>place remain the same year after year</w:t>
      </w:r>
      <w:r w:rsidR="001E203C">
        <w:t xml:space="preserve"> (Asino &amp; </w:t>
      </w:r>
      <w:proofErr w:type="spellStart"/>
      <w:r w:rsidR="001E203C">
        <w:t>Pulay</w:t>
      </w:r>
      <w:proofErr w:type="spellEnd"/>
      <w:r w:rsidR="001E203C">
        <w:t>, 2019)</w:t>
      </w:r>
    </w:p>
    <w:p w:rsidR="002C6AB1" w:rsidP="001E203C" w:rsidRDefault="002C6AB1" w14:paraId="5CCD1454" w14:textId="6B1A5D3C">
      <w:pPr>
        <w:ind w:left="720"/>
      </w:pPr>
      <w:r>
        <w:t>…</w:t>
      </w:r>
      <w:r w:rsidR="001E203C">
        <w:t xml:space="preserve">to engage in ethical work in educational technology, a level of criticality in our approaches is necessary </w:t>
      </w:r>
      <w:r>
        <w:t xml:space="preserve">(e.g., </w:t>
      </w:r>
      <w:r w:rsidR="001E203C">
        <w:t>Bradshaw, 2017</w:t>
      </w:r>
      <w:r>
        <w:t>)…</w:t>
      </w:r>
    </w:p>
    <w:p w:rsidR="002C6AB1" w:rsidP="002C6AB1" w:rsidRDefault="002C6AB1" w14:paraId="4291B2C8" w14:textId="77777777">
      <w:pPr>
        <w:ind w:firstLine="720"/>
      </w:pPr>
      <w:r>
        <w:t>... Freire (1970) called for attention on issues of power and justice in teaching practice…</w:t>
      </w:r>
    </w:p>
    <w:p w:rsidR="002C6AB1" w:rsidP="002C6AB1" w:rsidRDefault="002C6AB1" w14:paraId="7780A79E" w14:textId="77777777">
      <w:pPr>
        <w:pStyle w:val="Heading1"/>
      </w:pPr>
      <w:r>
        <w:t>Endnotes (use Heading 1)</w:t>
      </w:r>
    </w:p>
    <w:p w:rsidR="002C6AB1" w:rsidP="002C6AB1" w:rsidRDefault="002C6AB1" w14:paraId="1DAB451F" w14:textId="77777777">
      <w:pPr>
        <w:pBdr>
          <w:top w:val="nil"/>
          <w:left w:val="nil"/>
          <w:bottom w:val="nil"/>
          <w:right w:val="nil"/>
          <w:between w:val="nil"/>
        </w:pBdr>
        <w:ind w:left="360" w:hanging="360"/>
        <w:jc w:val="both"/>
        <w:rPr>
          <w:color w:val="000000"/>
          <w:sz w:val="18"/>
          <w:szCs w:val="18"/>
        </w:rPr>
      </w:pPr>
      <w:r>
        <w:rPr>
          <w:color w:val="000000"/>
          <w:sz w:val="18"/>
          <w:szCs w:val="18"/>
        </w:rPr>
        <w:lastRenderedPageBreak/>
        <w:t>(1)  Place any endnotes after the main text of your paper, but before your reference list. Use Times or Times New Roman 9-pt. text for your endnotes, and "full justify" the margins. Place the endnote number reference in parentheses in the left margin, using the same number as in the text of the paper.</w:t>
      </w:r>
    </w:p>
    <w:p w:rsidR="002C6AB1" w:rsidP="002C6AB1" w:rsidRDefault="002C6AB1" w14:paraId="4E877F51" w14:textId="77777777">
      <w:pPr>
        <w:pBdr>
          <w:top w:val="nil"/>
          <w:left w:val="nil"/>
          <w:bottom w:val="nil"/>
          <w:right w:val="nil"/>
          <w:between w:val="nil"/>
        </w:pBdr>
        <w:ind w:left="360" w:hanging="360"/>
        <w:jc w:val="both"/>
        <w:rPr>
          <w:color w:val="000000"/>
          <w:sz w:val="18"/>
          <w:szCs w:val="18"/>
        </w:rPr>
      </w:pPr>
      <w:r>
        <w:rPr>
          <w:color w:val="000000"/>
          <w:sz w:val="18"/>
          <w:szCs w:val="18"/>
        </w:rPr>
        <w:t>(2)   Use style “Endnotes”, with a 0.635 cm (0.25 inches) "hanging" indent and a 0.635 cm (0.25 inches) tab setting, as in this example.</w:t>
      </w:r>
    </w:p>
    <w:p w:rsidR="002C6AB1" w:rsidP="002C6AB1" w:rsidRDefault="002C6AB1" w14:paraId="3F2C2416" w14:textId="77777777">
      <w:pPr>
        <w:pStyle w:val="Heading1"/>
      </w:pPr>
      <w:r>
        <w:t>References (use Heading 1)</w:t>
      </w:r>
    </w:p>
    <w:p w:rsidRPr="001E203C" w:rsidR="001E203C" w:rsidP="001E203C" w:rsidRDefault="001E203C" w14:paraId="187A9F3D" w14:textId="77777777">
      <w:pPr>
        <w:pBdr>
          <w:top w:val="nil"/>
          <w:left w:val="nil"/>
          <w:bottom w:val="nil"/>
          <w:right w:val="nil"/>
          <w:between w:val="nil"/>
        </w:pBdr>
        <w:tabs>
          <w:tab w:val="left" w:pos="6863"/>
        </w:tabs>
        <w:ind w:left="720" w:hanging="720"/>
        <w:jc w:val="both"/>
        <w:rPr>
          <w:color w:val="000000"/>
          <w:szCs w:val="20"/>
        </w:rPr>
      </w:pPr>
      <w:r w:rsidRPr="001E203C">
        <w:rPr>
          <w:color w:val="222222"/>
          <w:szCs w:val="20"/>
          <w:shd w:val="clear" w:color="auto" w:fill="FFFFFF"/>
        </w:rPr>
        <w:t xml:space="preserve">Asino, T. I., &amp; </w:t>
      </w:r>
      <w:proofErr w:type="spellStart"/>
      <w:r w:rsidRPr="001E203C">
        <w:rPr>
          <w:color w:val="222222"/>
          <w:szCs w:val="20"/>
          <w:shd w:val="clear" w:color="auto" w:fill="FFFFFF"/>
        </w:rPr>
        <w:t>Pulay</w:t>
      </w:r>
      <w:proofErr w:type="spellEnd"/>
      <w:r w:rsidRPr="001E203C">
        <w:rPr>
          <w:color w:val="222222"/>
          <w:szCs w:val="20"/>
          <w:shd w:val="clear" w:color="auto" w:fill="FFFFFF"/>
        </w:rPr>
        <w:t>, A. (2019). Student perceptions on the role of the classroom environment on computer supported collaborative learning. </w:t>
      </w:r>
      <w:r w:rsidRPr="001E203C">
        <w:rPr>
          <w:i/>
          <w:iCs/>
          <w:color w:val="222222"/>
          <w:szCs w:val="20"/>
          <w:shd w:val="clear" w:color="auto" w:fill="FFFFFF"/>
        </w:rPr>
        <w:t>TechTrends</w:t>
      </w:r>
      <w:r w:rsidRPr="001E203C">
        <w:rPr>
          <w:color w:val="222222"/>
          <w:szCs w:val="20"/>
          <w:shd w:val="clear" w:color="auto" w:fill="FFFFFF"/>
        </w:rPr>
        <w:t>, </w:t>
      </w:r>
      <w:r w:rsidRPr="001E203C">
        <w:rPr>
          <w:i/>
          <w:iCs/>
          <w:color w:val="222222"/>
          <w:szCs w:val="20"/>
          <w:shd w:val="clear" w:color="auto" w:fill="FFFFFF"/>
        </w:rPr>
        <w:t>63</w:t>
      </w:r>
      <w:r w:rsidRPr="001E203C">
        <w:rPr>
          <w:color w:val="222222"/>
          <w:szCs w:val="20"/>
          <w:shd w:val="clear" w:color="auto" w:fill="FFFFFF"/>
        </w:rPr>
        <w:t>, 179-187.</w:t>
      </w:r>
    </w:p>
    <w:p w:rsidRPr="001E203C" w:rsidR="001E203C" w:rsidP="001E203C" w:rsidRDefault="001E203C" w14:paraId="142EC848" w14:textId="77777777">
      <w:pPr>
        <w:pBdr>
          <w:top w:val="nil"/>
          <w:left w:val="nil"/>
          <w:bottom w:val="nil"/>
          <w:right w:val="nil"/>
          <w:between w:val="nil"/>
        </w:pBdr>
        <w:tabs>
          <w:tab w:val="left" w:pos="6863"/>
        </w:tabs>
        <w:ind w:left="720" w:hanging="720"/>
        <w:jc w:val="both"/>
        <w:rPr>
          <w:color w:val="222222"/>
          <w:szCs w:val="20"/>
          <w:shd w:val="clear" w:color="auto" w:fill="FFFFFF"/>
        </w:rPr>
      </w:pPr>
      <w:r w:rsidRPr="001E203C">
        <w:rPr>
          <w:color w:val="222222"/>
          <w:szCs w:val="20"/>
          <w:shd w:val="clear" w:color="auto" w:fill="FFFFFF"/>
        </w:rPr>
        <w:t>Bradshaw, A. C. (2017). Critical pedagogy and educational technology. </w:t>
      </w:r>
      <w:r w:rsidRPr="001E203C">
        <w:rPr>
          <w:i/>
          <w:iCs/>
          <w:color w:val="222222"/>
          <w:szCs w:val="20"/>
          <w:shd w:val="clear" w:color="auto" w:fill="FFFFFF"/>
        </w:rPr>
        <w:t>Culture, learning and technology: Research and practice</w:t>
      </w:r>
      <w:r w:rsidRPr="001E203C">
        <w:rPr>
          <w:color w:val="222222"/>
          <w:szCs w:val="20"/>
          <w:shd w:val="clear" w:color="auto" w:fill="FFFFFF"/>
        </w:rPr>
        <w:t>, 8-27.</w:t>
      </w:r>
    </w:p>
    <w:p w:rsidR="00E206BA" w:rsidP="00E206BA" w:rsidRDefault="00E206BA" w14:paraId="0ADFBCDF" w14:textId="77777777">
      <w:pPr>
        <w:pBdr>
          <w:top w:val="nil"/>
          <w:left w:val="nil"/>
          <w:bottom w:val="nil"/>
          <w:right w:val="nil"/>
          <w:between w:val="nil"/>
        </w:pBdr>
        <w:ind w:left="720" w:hanging="720"/>
        <w:jc w:val="both"/>
        <w:rPr>
          <w:color w:val="000000"/>
          <w:szCs w:val="20"/>
        </w:rPr>
      </w:pPr>
      <w:r>
        <w:rPr>
          <w:color w:val="000000"/>
          <w:szCs w:val="20"/>
        </w:rPr>
        <w:t>Freire, P. (1970). </w:t>
      </w:r>
      <w:r>
        <w:rPr>
          <w:i/>
          <w:color w:val="000000"/>
          <w:szCs w:val="20"/>
        </w:rPr>
        <w:t>Pedagogy of the oppressed.</w:t>
      </w:r>
      <w:r>
        <w:rPr>
          <w:color w:val="000000"/>
          <w:szCs w:val="20"/>
        </w:rPr>
        <w:t> New York: Seabury Press.</w:t>
      </w:r>
    </w:p>
    <w:p w:rsidRPr="001E203C" w:rsidR="001E203C" w:rsidP="002C6AB1" w:rsidRDefault="001E203C" w14:paraId="1CAE6E36" w14:textId="65F84CB5">
      <w:pPr>
        <w:pBdr>
          <w:top w:val="nil"/>
          <w:left w:val="nil"/>
          <w:bottom w:val="nil"/>
          <w:right w:val="nil"/>
          <w:between w:val="nil"/>
        </w:pBdr>
        <w:tabs>
          <w:tab w:val="left" w:pos="6863"/>
        </w:tabs>
        <w:ind w:left="720" w:hanging="720"/>
        <w:jc w:val="both"/>
        <w:rPr>
          <w:color w:val="222222"/>
          <w:szCs w:val="20"/>
          <w:shd w:val="clear" w:color="auto" w:fill="FFFFFF"/>
        </w:rPr>
      </w:pPr>
      <w:proofErr w:type="spellStart"/>
      <w:r w:rsidRPr="001E203C">
        <w:rPr>
          <w:color w:val="222222"/>
          <w:szCs w:val="20"/>
          <w:shd w:val="clear" w:color="auto" w:fill="FFFFFF"/>
        </w:rPr>
        <w:t>Hannafin</w:t>
      </w:r>
      <w:proofErr w:type="spellEnd"/>
      <w:r w:rsidRPr="001E203C">
        <w:rPr>
          <w:color w:val="222222"/>
          <w:szCs w:val="20"/>
          <w:shd w:val="clear" w:color="auto" w:fill="FFFFFF"/>
        </w:rPr>
        <w:t>, M., Land, S., &amp; Oliver, K. (2013). Open learning environments: Foundations, methods, and models. In </w:t>
      </w:r>
      <w:r w:rsidRPr="001E203C">
        <w:rPr>
          <w:i/>
          <w:iCs/>
          <w:color w:val="222222"/>
          <w:szCs w:val="20"/>
          <w:shd w:val="clear" w:color="auto" w:fill="FFFFFF"/>
        </w:rPr>
        <w:t>Instructional-design theories and models</w:t>
      </w:r>
      <w:r w:rsidRPr="001E203C">
        <w:rPr>
          <w:color w:val="222222"/>
          <w:szCs w:val="20"/>
          <w:shd w:val="clear" w:color="auto" w:fill="FFFFFF"/>
        </w:rPr>
        <w:t> (pp. 115-140). Routledge.</w:t>
      </w:r>
    </w:p>
    <w:p w:rsidRPr="001E203C" w:rsidR="001E203C" w:rsidP="002C6AB1" w:rsidRDefault="001E203C" w14:paraId="4FE6BCB4" w14:textId="6175F4C5">
      <w:pPr>
        <w:pBdr>
          <w:top w:val="nil"/>
          <w:left w:val="nil"/>
          <w:bottom w:val="nil"/>
          <w:right w:val="nil"/>
          <w:between w:val="nil"/>
        </w:pBdr>
        <w:tabs>
          <w:tab w:val="left" w:pos="6863"/>
        </w:tabs>
        <w:ind w:left="720" w:hanging="720"/>
        <w:jc w:val="both"/>
        <w:rPr>
          <w:color w:val="222222"/>
          <w:szCs w:val="20"/>
          <w:shd w:val="clear" w:color="auto" w:fill="FFFFFF"/>
        </w:rPr>
      </w:pPr>
      <w:proofErr w:type="spellStart"/>
      <w:r w:rsidRPr="001E203C">
        <w:rPr>
          <w:color w:val="222222"/>
          <w:szCs w:val="20"/>
          <w:shd w:val="clear" w:color="auto" w:fill="FFFFFF"/>
        </w:rPr>
        <w:t>Lockee</w:t>
      </w:r>
      <w:proofErr w:type="spellEnd"/>
      <w:r w:rsidRPr="001E203C">
        <w:rPr>
          <w:color w:val="222222"/>
          <w:szCs w:val="20"/>
          <w:shd w:val="clear" w:color="auto" w:fill="FFFFFF"/>
        </w:rPr>
        <w:t>, B. B. (2021). Online education in the post-COVID era. </w:t>
      </w:r>
      <w:r w:rsidRPr="001E203C">
        <w:rPr>
          <w:i/>
          <w:iCs/>
          <w:color w:val="222222"/>
          <w:szCs w:val="20"/>
          <w:shd w:val="clear" w:color="auto" w:fill="FFFFFF"/>
        </w:rPr>
        <w:t>Nature Electronics</w:t>
      </w:r>
      <w:r w:rsidRPr="001E203C">
        <w:rPr>
          <w:color w:val="222222"/>
          <w:szCs w:val="20"/>
          <w:shd w:val="clear" w:color="auto" w:fill="FFFFFF"/>
        </w:rPr>
        <w:t>, </w:t>
      </w:r>
      <w:r w:rsidRPr="001E203C">
        <w:rPr>
          <w:i/>
          <w:iCs/>
          <w:color w:val="222222"/>
          <w:szCs w:val="20"/>
          <w:shd w:val="clear" w:color="auto" w:fill="FFFFFF"/>
        </w:rPr>
        <w:t>4</w:t>
      </w:r>
      <w:r w:rsidRPr="001E203C">
        <w:rPr>
          <w:color w:val="222222"/>
          <w:szCs w:val="20"/>
          <w:shd w:val="clear" w:color="auto" w:fill="FFFFFF"/>
        </w:rPr>
        <w:t>(1), 5-6.</w:t>
      </w:r>
    </w:p>
    <w:p w:rsidRPr="001E203C" w:rsidR="001E203C" w:rsidP="001E203C" w:rsidRDefault="001E203C" w14:paraId="6748BD6C" w14:textId="77777777">
      <w:pPr>
        <w:pBdr>
          <w:top w:val="nil"/>
          <w:left w:val="nil"/>
          <w:bottom w:val="nil"/>
          <w:right w:val="nil"/>
          <w:between w:val="nil"/>
        </w:pBdr>
        <w:tabs>
          <w:tab w:val="left" w:pos="6863"/>
        </w:tabs>
        <w:ind w:left="720" w:hanging="720"/>
        <w:jc w:val="both"/>
        <w:rPr>
          <w:color w:val="000000"/>
          <w:szCs w:val="20"/>
        </w:rPr>
      </w:pPr>
      <w:r w:rsidRPr="001E203C">
        <w:rPr>
          <w:color w:val="222222"/>
          <w:szCs w:val="20"/>
          <w:shd w:val="clear" w:color="auto" w:fill="FFFFFF"/>
        </w:rPr>
        <w:t xml:space="preserve">Moore, J. L., Dickson-Deane, C., &amp; </w:t>
      </w:r>
      <w:proofErr w:type="spellStart"/>
      <w:r w:rsidRPr="001E203C">
        <w:rPr>
          <w:color w:val="222222"/>
          <w:szCs w:val="20"/>
          <w:shd w:val="clear" w:color="auto" w:fill="FFFFFF"/>
        </w:rPr>
        <w:t>Galyen</w:t>
      </w:r>
      <w:proofErr w:type="spellEnd"/>
      <w:r w:rsidRPr="001E203C">
        <w:rPr>
          <w:color w:val="222222"/>
          <w:szCs w:val="20"/>
          <w:shd w:val="clear" w:color="auto" w:fill="FFFFFF"/>
        </w:rPr>
        <w:t xml:space="preserve">, K. (2011). e-Learning, online learning, and distance learning environments: Are they the </w:t>
      </w:r>
      <w:proofErr w:type="gramStart"/>
      <w:r w:rsidRPr="001E203C">
        <w:rPr>
          <w:color w:val="222222"/>
          <w:szCs w:val="20"/>
          <w:shd w:val="clear" w:color="auto" w:fill="FFFFFF"/>
        </w:rPr>
        <w:t>same?.</w:t>
      </w:r>
      <w:proofErr w:type="gramEnd"/>
      <w:r w:rsidRPr="001E203C">
        <w:rPr>
          <w:color w:val="222222"/>
          <w:szCs w:val="20"/>
          <w:shd w:val="clear" w:color="auto" w:fill="FFFFFF"/>
        </w:rPr>
        <w:t> </w:t>
      </w:r>
      <w:r w:rsidRPr="001E203C">
        <w:rPr>
          <w:i/>
          <w:iCs/>
          <w:color w:val="222222"/>
          <w:szCs w:val="20"/>
          <w:shd w:val="clear" w:color="auto" w:fill="FFFFFF"/>
        </w:rPr>
        <w:t>The Internet and higher education</w:t>
      </w:r>
      <w:r w:rsidRPr="001E203C">
        <w:rPr>
          <w:color w:val="222222"/>
          <w:szCs w:val="20"/>
          <w:shd w:val="clear" w:color="auto" w:fill="FFFFFF"/>
        </w:rPr>
        <w:t>, </w:t>
      </w:r>
      <w:r w:rsidRPr="001E203C">
        <w:rPr>
          <w:i/>
          <w:iCs/>
          <w:color w:val="222222"/>
          <w:szCs w:val="20"/>
          <w:shd w:val="clear" w:color="auto" w:fill="FFFFFF"/>
        </w:rPr>
        <w:t>14</w:t>
      </w:r>
      <w:r w:rsidRPr="001E203C">
        <w:rPr>
          <w:color w:val="222222"/>
          <w:szCs w:val="20"/>
          <w:shd w:val="clear" w:color="auto" w:fill="FFFFFF"/>
        </w:rPr>
        <w:t>(2), 129-135.</w:t>
      </w:r>
      <w:r w:rsidRPr="001E203C">
        <w:rPr>
          <w:color w:val="000000"/>
          <w:szCs w:val="20"/>
        </w:rPr>
        <w:tab/>
      </w:r>
    </w:p>
    <w:p w:rsidRPr="001E203C" w:rsidR="002C6AB1" w:rsidP="002C6AB1" w:rsidRDefault="002C6AB1" w14:paraId="20A34211" w14:textId="77777777">
      <w:pPr>
        <w:pBdr>
          <w:top w:val="nil"/>
          <w:left w:val="nil"/>
          <w:bottom w:val="nil"/>
          <w:right w:val="nil"/>
          <w:between w:val="nil"/>
        </w:pBdr>
        <w:jc w:val="both"/>
        <w:rPr>
          <w:color w:val="000000"/>
          <w:szCs w:val="20"/>
        </w:rPr>
      </w:pPr>
    </w:p>
    <w:p w:rsidRPr="001E203C" w:rsidR="002C6AB1" w:rsidP="002C6AB1" w:rsidRDefault="002C6AB1" w14:paraId="322A36E1" w14:textId="77777777">
      <w:pPr>
        <w:pBdr>
          <w:top w:val="nil"/>
          <w:left w:val="nil"/>
          <w:bottom w:val="nil"/>
          <w:right w:val="nil"/>
          <w:between w:val="nil"/>
        </w:pBdr>
        <w:jc w:val="both"/>
        <w:rPr>
          <w:color w:val="000000"/>
          <w:szCs w:val="20"/>
        </w:rPr>
      </w:pPr>
      <w:r w:rsidRPr="001E203C">
        <w:rPr>
          <w:color w:val="000000"/>
          <w:szCs w:val="20"/>
        </w:rPr>
        <w:t>(Note that references are in style “References,” Times or Times New Roman 10-pt. text, “full justified” and use a 1.27 cm (0.5 inches) "hanging" indent, with no spaces left between entries. Follow APA style (7</w:t>
      </w:r>
      <w:r w:rsidRPr="001E203C">
        <w:rPr>
          <w:color w:val="000000"/>
          <w:szCs w:val="20"/>
          <w:vertAlign w:val="superscript"/>
        </w:rPr>
        <w:t>th</w:t>
      </w:r>
      <w:r w:rsidRPr="001E203C">
        <w:rPr>
          <w:color w:val="000000"/>
          <w:szCs w:val="20"/>
        </w:rPr>
        <w:t xml:space="preserve"> edition). The MOST important thing about the reference style you use is that readers </w:t>
      </w:r>
      <w:proofErr w:type="gramStart"/>
      <w:r w:rsidRPr="001E203C">
        <w:rPr>
          <w:color w:val="000000"/>
          <w:szCs w:val="20"/>
        </w:rPr>
        <w:t>are able to</w:t>
      </w:r>
      <w:proofErr w:type="gramEnd"/>
      <w:r w:rsidRPr="001E203C">
        <w:rPr>
          <w:color w:val="000000"/>
          <w:szCs w:val="20"/>
        </w:rPr>
        <w:t xml:space="preserve"> locate the sources you cite! Please be especially clear in the case of references to online materials!)</w:t>
      </w:r>
    </w:p>
    <w:p w:rsidR="002C6AB1" w:rsidP="002C6AB1" w:rsidRDefault="002C6AB1" w14:paraId="18883221" w14:textId="77777777">
      <w:pPr>
        <w:pStyle w:val="Heading1"/>
      </w:pPr>
      <w:r>
        <w:t>Acknowledgments (use Heading 1)</w:t>
      </w:r>
    </w:p>
    <w:p w:rsidRPr="00932062" w:rsidR="009210D2" w:rsidP="00932062" w:rsidRDefault="002C6AB1" w14:paraId="3EB46F1C" w14:textId="4C01DA37">
      <w:pPr>
        <w:pBdr>
          <w:top w:val="nil"/>
          <w:left w:val="nil"/>
          <w:bottom w:val="nil"/>
          <w:right w:val="nil"/>
          <w:between w:val="nil"/>
        </w:pBdr>
        <w:jc w:val="both"/>
        <w:rPr>
          <w:color w:val="000000"/>
          <w:szCs w:val="20"/>
        </w:rPr>
      </w:pPr>
      <w:r>
        <w:rPr>
          <w:color w:val="000000"/>
          <w:szCs w:val="20"/>
        </w:rPr>
        <w:t xml:space="preserve">If you would like to make acknowledgments in your paper, please do so after the reference section, use Times or Times New Roman 10-pt. font, “full justify” your text, and do </w:t>
      </w:r>
      <w:r>
        <w:rPr>
          <w:i/>
          <w:color w:val="000000"/>
          <w:szCs w:val="20"/>
        </w:rPr>
        <w:t xml:space="preserve">not </w:t>
      </w:r>
      <w:r>
        <w:rPr>
          <w:color w:val="000000"/>
          <w:szCs w:val="20"/>
        </w:rPr>
        <w:t>indent the first line of the acknowledgments.</w:t>
      </w:r>
    </w:p>
    <w:sectPr w:rsidRPr="00932062" w:rsidR="009210D2">
      <w:headerReference w:type="default" r:id="rId8"/>
      <w:pgSz w:w="11899" w:h="16838" w:orient="portrait"/>
      <w:pgMar w:top="1800" w:right="1440" w:bottom="18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6695" w:rsidP="002C6AB1" w:rsidRDefault="006A6695" w14:paraId="5FF31A2F" w14:textId="77777777">
      <w:r>
        <w:separator/>
      </w:r>
    </w:p>
  </w:endnote>
  <w:endnote w:type="continuationSeparator" w:id="0">
    <w:p w:rsidR="006A6695" w:rsidP="002C6AB1" w:rsidRDefault="006A6695" w14:paraId="1BFCB9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6695" w:rsidP="002C6AB1" w:rsidRDefault="006A6695" w14:paraId="34B6C36D" w14:textId="77777777">
      <w:r>
        <w:separator/>
      </w:r>
    </w:p>
  </w:footnote>
  <w:footnote w:type="continuationSeparator" w:id="0">
    <w:p w:rsidR="006A6695" w:rsidP="002C6AB1" w:rsidRDefault="006A6695" w14:paraId="18F3DF2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0219" w:rsidP="00932062" w:rsidRDefault="00960219" w14:paraId="70844D12" w14:textId="10699283">
    <w:pPr>
      <w:pBdr>
        <w:top w:val="nil"/>
        <w:left w:val="nil"/>
        <w:bottom w:val="nil"/>
        <w:right w:val="nil"/>
        <w:between w:val="nil"/>
      </w:pBdr>
      <w:tabs>
        <w:tab w:val="center" w:pos="4320"/>
        <w:tab w:val="right" w:pos="8640"/>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86F72"/>
    <w:multiLevelType w:val="multilevel"/>
    <w:tmpl w:val="6AF494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69385DC4"/>
    <w:multiLevelType w:val="hybridMultilevel"/>
    <w:tmpl w:val="BC64BB38"/>
    <w:lvl w:ilvl="0" w:tplc="B31CC4E2">
      <w:start w:val="23"/>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FA2682B"/>
    <w:multiLevelType w:val="multilevel"/>
    <w:tmpl w:val="1812B6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990162025">
    <w:abstractNumId w:val="2"/>
  </w:num>
  <w:num w:numId="2" w16cid:durableId="1761221889">
    <w:abstractNumId w:val="0"/>
  </w:num>
  <w:num w:numId="3" w16cid:durableId="178704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B1"/>
    <w:rsid w:val="000303DC"/>
    <w:rsid w:val="00037C51"/>
    <w:rsid w:val="00077C4F"/>
    <w:rsid w:val="00090580"/>
    <w:rsid w:val="000925B1"/>
    <w:rsid w:val="000D3C5A"/>
    <w:rsid w:val="000E128F"/>
    <w:rsid w:val="001300D7"/>
    <w:rsid w:val="001520EE"/>
    <w:rsid w:val="00177AA1"/>
    <w:rsid w:val="001E203C"/>
    <w:rsid w:val="00202B72"/>
    <w:rsid w:val="0024773F"/>
    <w:rsid w:val="00251AAC"/>
    <w:rsid w:val="00280DBC"/>
    <w:rsid w:val="00282275"/>
    <w:rsid w:val="002A09F3"/>
    <w:rsid w:val="002B7D27"/>
    <w:rsid w:val="002C6AB1"/>
    <w:rsid w:val="00306516"/>
    <w:rsid w:val="003129D8"/>
    <w:rsid w:val="00331A86"/>
    <w:rsid w:val="00340EED"/>
    <w:rsid w:val="00377FB4"/>
    <w:rsid w:val="00393D4F"/>
    <w:rsid w:val="003B0880"/>
    <w:rsid w:val="003B7114"/>
    <w:rsid w:val="004726EC"/>
    <w:rsid w:val="004C7CA0"/>
    <w:rsid w:val="005273B8"/>
    <w:rsid w:val="00541B56"/>
    <w:rsid w:val="00572E03"/>
    <w:rsid w:val="0057585F"/>
    <w:rsid w:val="006145ED"/>
    <w:rsid w:val="006A1A35"/>
    <w:rsid w:val="006A6695"/>
    <w:rsid w:val="00763288"/>
    <w:rsid w:val="00814673"/>
    <w:rsid w:val="00820531"/>
    <w:rsid w:val="00896E52"/>
    <w:rsid w:val="008E5C01"/>
    <w:rsid w:val="009113A4"/>
    <w:rsid w:val="009210D2"/>
    <w:rsid w:val="00932062"/>
    <w:rsid w:val="0094291C"/>
    <w:rsid w:val="00960219"/>
    <w:rsid w:val="00987B4A"/>
    <w:rsid w:val="00993A64"/>
    <w:rsid w:val="009F0F6B"/>
    <w:rsid w:val="009F1595"/>
    <w:rsid w:val="009F4FE9"/>
    <w:rsid w:val="00A36318"/>
    <w:rsid w:val="00A52A50"/>
    <w:rsid w:val="00B73F3A"/>
    <w:rsid w:val="00B96E92"/>
    <w:rsid w:val="00BE78A4"/>
    <w:rsid w:val="00C07224"/>
    <w:rsid w:val="00C22458"/>
    <w:rsid w:val="00C3411B"/>
    <w:rsid w:val="00CC890C"/>
    <w:rsid w:val="00D925B5"/>
    <w:rsid w:val="00DE245C"/>
    <w:rsid w:val="00E206BA"/>
    <w:rsid w:val="00E75FF9"/>
    <w:rsid w:val="00E958D2"/>
    <w:rsid w:val="00EA01F9"/>
    <w:rsid w:val="00EA07BE"/>
    <w:rsid w:val="00EC5760"/>
    <w:rsid w:val="00F23B94"/>
    <w:rsid w:val="00F43226"/>
    <w:rsid w:val="0687DC1E"/>
    <w:rsid w:val="07A34439"/>
    <w:rsid w:val="2173FBB0"/>
    <w:rsid w:val="23F40D5A"/>
    <w:rsid w:val="250C3101"/>
    <w:rsid w:val="30493BEA"/>
    <w:rsid w:val="3061623D"/>
    <w:rsid w:val="30A4A7B9"/>
    <w:rsid w:val="33DE66F1"/>
    <w:rsid w:val="37AEBF07"/>
    <w:rsid w:val="56391053"/>
    <w:rsid w:val="59A87829"/>
    <w:rsid w:val="6182FD0C"/>
    <w:rsid w:val="6C14C157"/>
    <w:rsid w:val="6ED62A62"/>
    <w:rsid w:val="76B0A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3ACC5E"/>
  <w15:chartTrackingRefBased/>
  <w15:docId w15:val="{ED9C07D0-A7C2-244A-ACCB-B8005FAA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AB1"/>
    <w:rPr>
      <w:rFonts w:ascii="Times New Roman" w:hAnsi="Times New Roman" w:eastAsia="Times New Roman" w:cs="Times New Roman"/>
      <w:kern w:val="0"/>
      <w:sz w:val="20"/>
      <w14:ligatures w14:val="none"/>
    </w:rPr>
  </w:style>
  <w:style w:type="paragraph" w:styleId="Heading1">
    <w:name w:val="heading 1"/>
    <w:basedOn w:val="Normal"/>
    <w:next w:val="BodyText"/>
    <w:link w:val="Heading1Char"/>
    <w:uiPriority w:val="9"/>
    <w:qFormat/>
    <w:rsid w:val="002C6AB1"/>
    <w:pPr>
      <w:autoSpaceDE w:val="0"/>
      <w:autoSpaceDN w:val="0"/>
      <w:adjustRightInd w:val="0"/>
      <w:spacing w:before="240"/>
      <w:outlineLvl w:val="0"/>
    </w:pPr>
    <w:rPr>
      <w:rFonts w:ascii="Arial" w:hAnsi="Arial" w:cs="Arial"/>
      <w:b/>
      <w:bCs/>
      <w:sz w:val="24"/>
    </w:rPr>
  </w:style>
  <w:style w:type="paragraph" w:styleId="Heading2">
    <w:name w:val="heading 2"/>
    <w:basedOn w:val="NoteHeading"/>
    <w:next w:val="BodyText"/>
    <w:link w:val="Heading2Char"/>
    <w:uiPriority w:val="9"/>
    <w:unhideWhenUsed/>
    <w:qFormat/>
    <w:rsid w:val="002C6AB1"/>
    <w:pPr>
      <w:spacing w:before="200"/>
      <w:outlineLvl w:val="1"/>
    </w:pPr>
    <w:rPr>
      <w:rFonts w:ascii="Arial" w:hAnsi="Arial" w:cs="Arial"/>
      <w:sz w:val="24"/>
      <w:szCs w:val="22"/>
    </w:rPr>
  </w:style>
  <w:style w:type="paragraph" w:styleId="Heading3">
    <w:name w:val="heading 3"/>
    <w:basedOn w:val="Normal"/>
    <w:next w:val="BodyText"/>
    <w:link w:val="Heading3Char"/>
    <w:uiPriority w:val="9"/>
    <w:unhideWhenUsed/>
    <w:qFormat/>
    <w:rsid w:val="002C6AB1"/>
    <w:pPr>
      <w:autoSpaceDE w:val="0"/>
      <w:autoSpaceDN w:val="0"/>
      <w:adjustRightInd w:val="0"/>
      <w:spacing w:before="200"/>
      <w:outlineLvl w:val="2"/>
    </w:pPr>
    <w:rPr>
      <w:rFonts w:ascii="Arial" w:hAnsi="Arial" w:cs="Arial"/>
      <w:szCs w:val="2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6AB1"/>
    <w:rPr>
      <w:rFonts w:ascii="Arial" w:hAnsi="Arial" w:eastAsia="Times New Roman" w:cs="Arial"/>
      <w:b/>
      <w:bCs/>
      <w:kern w:val="0"/>
      <w14:ligatures w14:val="none"/>
    </w:rPr>
  </w:style>
  <w:style w:type="character" w:styleId="Heading2Char" w:customStyle="1">
    <w:name w:val="Heading 2 Char"/>
    <w:basedOn w:val="DefaultParagraphFont"/>
    <w:link w:val="Heading2"/>
    <w:uiPriority w:val="9"/>
    <w:rsid w:val="002C6AB1"/>
    <w:rPr>
      <w:rFonts w:ascii="Arial" w:hAnsi="Arial" w:eastAsia="Times New Roman" w:cs="Arial"/>
      <w:kern w:val="0"/>
      <w:szCs w:val="22"/>
      <w14:ligatures w14:val="none"/>
    </w:rPr>
  </w:style>
  <w:style w:type="character" w:styleId="Heading3Char" w:customStyle="1">
    <w:name w:val="Heading 3 Char"/>
    <w:basedOn w:val="DefaultParagraphFont"/>
    <w:link w:val="Heading3"/>
    <w:uiPriority w:val="9"/>
    <w:rsid w:val="002C6AB1"/>
    <w:rPr>
      <w:rFonts w:ascii="Arial" w:hAnsi="Arial" w:eastAsia="Times New Roman" w:cs="Arial"/>
      <w:kern w:val="0"/>
      <w:sz w:val="20"/>
      <w:szCs w:val="22"/>
      <w:u w:val="single"/>
      <w14:ligatures w14:val="none"/>
    </w:rPr>
  </w:style>
  <w:style w:type="paragraph" w:styleId="Title">
    <w:name w:val="Title"/>
    <w:basedOn w:val="Normal"/>
    <w:link w:val="TitleChar"/>
    <w:uiPriority w:val="10"/>
    <w:qFormat/>
    <w:rsid w:val="002C6AB1"/>
    <w:pPr>
      <w:autoSpaceDE w:val="0"/>
      <w:autoSpaceDN w:val="0"/>
      <w:adjustRightInd w:val="0"/>
      <w:jc w:val="center"/>
    </w:pPr>
    <w:rPr>
      <w:rFonts w:ascii="Arial" w:hAnsi="Arial" w:cs="Arial"/>
      <w:b/>
      <w:bCs/>
      <w:sz w:val="28"/>
      <w:szCs w:val="28"/>
    </w:rPr>
  </w:style>
  <w:style w:type="character" w:styleId="TitleChar" w:customStyle="1">
    <w:name w:val="Title Char"/>
    <w:basedOn w:val="DefaultParagraphFont"/>
    <w:link w:val="Title"/>
    <w:uiPriority w:val="10"/>
    <w:rsid w:val="002C6AB1"/>
    <w:rPr>
      <w:rFonts w:ascii="Arial" w:hAnsi="Arial" w:eastAsia="Times New Roman" w:cs="Arial"/>
      <w:b/>
      <w:bCs/>
      <w:kern w:val="0"/>
      <w:sz w:val="28"/>
      <w:szCs w:val="28"/>
      <w14:ligatures w14:val="none"/>
    </w:rPr>
  </w:style>
  <w:style w:type="paragraph" w:styleId="BodyText">
    <w:name w:val="Body Text"/>
    <w:basedOn w:val="Normal"/>
    <w:link w:val="BodyTextChar"/>
    <w:uiPriority w:val="99"/>
    <w:semiHidden/>
    <w:unhideWhenUsed/>
    <w:rsid w:val="002C6AB1"/>
    <w:pPr>
      <w:spacing w:after="120"/>
    </w:pPr>
  </w:style>
  <w:style w:type="character" w:styleId="BodyTextChar" w:customStyle="1">
    <w:name w:val="Body Text Char"/>
    <w:basedOn w:val="DefaultParagraphFont"/>
    <w:link w:val="BodyText"/>
    <w:uiPriority w:val="99"/>
    <w:semiHidden/>
    <w:rsid w:val="002C6AB1"/>
    <w:rPr>
      <w:rFonts w:ascii="Times New Roman" w:hAnsi="Times New Roman" w:eastAsia="Times New Roman" w:cs="Times New Roman"/>
      <w:kern w:val="0"/>
      <w:sz w:val="20"/>
      <w14:ligatures w14:val="none"/>
    </w:rPr>
  </w:style>
  <w:style w:type="paragraph" w:styleId="NoteHeading">
    <w:name w:val="Note Heading"/>
    <w:basedOn w:val="Normal"/>
    <w:next w:val="Normal"/>
    <w:link w:val="NoteHeadingChar"/>
    <w:uiPriority w:val="99"/>
    <w:semiHidden/>
    <w:unhideWhenUsed/>
    <w:rsid w:val="002C6AB1"/>
  </w:style>
  <w:style w:type="character" w:styleId="NoteHeadingChar" w:customStyle="1">
    <w:name w:val="Note Heading Char"/>
    <w:basedOn w:val="DefaultParagraphFont"/>
    <w:link w:val="NoteHeading"/>
    <w:uiPriority w:val="99"/>
    <w:semiHidden/>
    <w:rsid w:val="002C6AB1"/>
    <w:rPr>
      <w:rFonts w:ascii="Times New Roman" w:hAnsi="Times New Roman" w:eastAsia="Times New Roman" w:cs="Times New Roman"/>
      <w:kern w:val="0"/>
      <w:sz w:val="20"/>
      <w14:ligatures w14:val="none"/>
    </w:rPr>
  </w:style>
  <w:style w:type="paragraph" w:styleId="Header">
    <w:name w:val="header"/>
    <w:basedOn w:val="Normal"/>
    <w:link w:val="HeaderChar"/>
    <w:uiPriority w:val="99"/>
    <w:unhideWhenUsed/>
    <w:rsid w:val="002C6AB1"/>
    <w:pPr>
      <w:tabs>
        <w:tab w:val="center" w:pos="4680"/>
        <w:tab w:val="right" w:pos="9360"/>
      </w:tabs>
    </w:pPr>
  </w:style>
  <w:style w:type="character" w:styleId="HeaderChar" w:customStyle="1">
    <w:name w:val="Header Char"/>
    <w:basedOn w:val="DefaultParagraphFont"/>
    <w:link w:val="Header"/>
    <w:uiPriority w:val="99"/>
    <w:rsid w:val="002C6AB1"/>
    <w:rPr>
      <w:rFonts w:ascii="Times New Roman" w:hAnsi="Times New Roman" w:eastAsia="Times New Roman" w:cs="Times New Roman"/>
      <w:kern w:val="0"/>
      <w:sz w:val="20"/>
      <w14:ligatures w14:val="none"/>
    </w:rPr>
  </w:style>
  <w:style w:type="paragraph" w:styleId="Footer">
    <w:name w:val="footer"/>
    <w:basedOn w:val="Normal"/>
    <w:link w:val="FooterChar"/>
    <w:uiPriority w:val="99"/>
    <w:unhideWhenUsed/>
    <w:rsid w:val="002C6AB1"/>
    <w:pPr>
      <w:tabs>
        <w:tab w:val="center" w:pos="4680"/>
        <w:tab w:val="right" w:pos="9360"/>
      </w:tabs>
    </w:pPr>
  </w:style>
  <w:style w:type="character" w:styleId="FooterChar" w:customStyle="1">
    <w:name w:val="Footer Char"/>
    <w:basedOn w:val="DefaultParagraphFont"/>
    <w:link w:val="Footer"/>
    <w:uiPriority w:val="99"/>
    <w:rsid w:val="002C6AB1"/>
    <w:rPr>
      <w:rFonts w:ascii="Times New Roman" w:hAnsi="Times New Roman" w:eastAsia="Times New Roman" w:cs="Times New Roman"/>
      <w:kern w:val="0"/>
      <w:sz w:val="20"/>
      <w14:ligatures w14:val="none"/>
    </w:rPr>
  </w:style>
  <w:style w:type="paragraph" w:styleId="ListParagraph">
    <w:name w:val="List Paragraph"/>
    <w:basedOn w:val="Normal"/>
    <w:uiPriority w:val="34"/>
    <w:qFormat/>
    <w:rsid w:val="00814673"/>
    <w:pPr>
      <w:ind w:left="720"/>
      <w:contextualSpacing/>
    </w:pPr>
    <w:rPr>
      <w:rFonts w:asciiTheme="minorHAnsi" w:hAnsiTheme="minorHAnsi" w:eastAsiaTheme="minorHAnsi" w:cstheme="minorBidi"/>
      <w:kern w:val="2"/>
      <w:sz w:val="24"/>
      <w14:ligatures w14:val="standardContextual"/>
    </w:rPr>
  </w:style>
  <w:style w:type="character" w:styleId="Hyperlink">
    <w:name w:val="Hyperlink"/>
    <w:basedOn w:val="DefaultParagraphFont"/>
    <w:uiPriority w:val="99"/>
    <w:unhideWhenUsed/>
    <w:rsid w:val="007632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Asino, Tutaleni I.</dc:creator>
  <keywords/>
  <dc:description/>
  <lastModifiedBy>Juliet Penrod</lastModifiedBy>
  <revision>6</revision>
  <dcterms:created xsi:type="dcterms:W3CDTF">2023-11-06T18:21:00.0000000Z</dcterms:created>
  <dcterms:modified xsi:type="dcterms:W3CDTF">2025-11-03T21:32:02.6382669Z</dcterms:modified>
</coreProperties>
</file>