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6" w:type="pct"/>
        <w:tblCellMar>
          <w:left w:w="0" w:type="dxa"/>
          <w:right w:w="0" w:type="dxa"/>
        </w:tblCellMar>
        <w:tblLook w:val="04A0" w:firstRow="1" w:lastRow="0" w:firstColumn="1" w:lastColumn="0" w:noHBand="0" w:noVBand="1"/>
      </w:tblPr>
      <w:tblGrid>
        <w:gridCol w:w="10215"/>
      </w:tblGrid>
      <w:tr w:rsidR="00291C8E" w:rsidTr="00291C8E">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tcMar>
                                <w:top w:w="135" w:type="dxa"/>
                                <w:left w:w="270" w:type="dxa"/>
                                <w:bottom w:w="135" w:type="dxa"/>
                                <w:right w:w="270" w:type="dxa"/>
                              </w:tcMar>
                              <w:hideMark/>
                            </w:tcPr>
                            <w:p w:rsidR="00291C8E" w:rsidRDefault="00291C8E" w:rsidP="00291C8E">
                              <w:pPr>
                                <w:ind w:left="165"/>
                                <w:rPr>
                                  <w:sz w:val="24"/>
                                  <w:szCs w:val="24"/>
                                </w:rPr>
                              </w:pPr>
                              <w:r>
                                <w:rPr>
                                  <w:noProof/>
                                </w:rPr>
                                <w:drawing>
                                  <wp:inline distT="0" distB="0" distL="0" distR="0" wp14:anchorId="3D9CBFA9" wp14:editId="41719BB3">
                                    <wp:extent cx="5238750" cy="1009650"/>
                                    <wp:effectExtent l="0" t="0" r="0" b="0"/>
                                    <wp:docPr id="1" name="Picture 1" descr="http://files.clickdimensions.com/accaorg-axi0v/files/accanew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ccaorg-axi0v/files/accanew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tc>
                        </w:tr>
                      </w:tbl>
                      <w:p w:rsidR="00291C8E" w:rsidRDefault="00291C8E" w:rsidP="00291C8E">
                        <w:pPr>
                          <w:ind w:left="165"/>
                          <w:rPr>
                            <w:rFonts w:ascii="Times New Roman" w:eastAsia="Times New Roman" w:hAnsi="Times New Roman" w:cs="Times New Roman"/>
                            <w:sz w:val="20"/>
                            <w:szCs w:val="20"/>
                          </w:rPr>
                        </w:pPr>
                      </w:p>
                    </w:tc>
                  </w:tr>
                </w:tbl>
                <w:p w:rsidR="00291C8E" w:rsidRDefault="00291C8E" w:rsidP="00291C8E">
                  <w:pPr>
                    <w:ind w:left="165"/>
                    <w:rPr>
                      <w:rFonts w:ascii="Times New Roman" w:eastAsia="Times New Roman" w:hAnsi="Times New Roman" w:cs="Times New Roman"/>
                      <w:sz w:val="20"/>
                      <w:szCs w:val="20"/>
                    </w:rPr>
                  </w:pPr>
                </w:p>
              </w:tc>
            </w:tr>
          </w:tbl>
          <w:p w:rsidR="00291C8E" w:rsidRDefault="00291C8E" w:rsidP="00291C8E">
            <w:pPr>
              <w:ind w:left="165"/>
              <w:rPr>
                <w:rFonts w:ascii="Times New Roman" w:eastAsia="Times New Roman" w:hAnsi="Times New Roman" w:cs="Times New Roman"/>
                <w:sz w:val="20"/>
                <w:szCs w:val="20"/>
              </w:rPr>
            </w:pPr>
          </w:p>
        </w:tc>
      </w:tr>
      <w:tr w:rsidR="00291C8E" w:rsidTr="00291C8E">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tcMar>
                                <w:top w:w="135" w:type="dxa"/>
                                <w:left w:w="270" w:type="dxa"/>
                                <w:bottom w:w="135" w:type="dxa"/>
                                <w:right w:w="270" w:type="dxa"/>
                              </w:tcMar>
                              <w:hideMark/>
                            </w:tcPr>
                            <w:p w:rsidR="00291C8E" w:rsidRPr="00737AE6" w:rsidRDefault="00291C8E" w:rsidP="007F6E26">
                              <w:pPr>
                                <w:spacing w:after="0" w:line="240" w:lineRule="auto"/>
                                <w:rPr>
                                  <w:rFonts w:ascii="Arial" w:hAnsi="Arial" w:cs="Arial"/>
                                  <w:sz w:val="17"/>
                                  <w:szCs w:val="17"/>
                                </w:rPr>
                              </w:pPr>
                              <w:r w:rsidRPr="00737AE6">
                                <w:rPr>
                                  <w:rStyle w:val="Strong"/>
                                  <w:rFonts w:ascii="Arial" w:hAnsi="Arial" w:cs="Arial"/>
                                  <w:sz w:val="17"/>
                                  <w:szCs w:val="17"/>
                                </w:rPr>
                                <w:t>For Immediate Release</w:t>
                              </w:r>
                              <w:r w:rsidRPr="00737AE6">
                                <w:rPr>
                                  <w:rFonts w:ascii="Arial" w:hAnsi="Arial" w:cs="Arial"/>
                                  <w:sz w:val="17"/>
                                  <w:szCs w:val="17"/>
                                </w:rPr>
                                <w:br/>
                              </w:r>
                              <w:r>
                                <w:rPr>
                                  <w:rFonts w:ascii="Arial" w:hAnsi="Arial" w:cs="Arial"/>
                                  <w:sz w:val="17"/>
                                  <w:szCs w:val="17"/>
                                </w:rPr>
                                <w:t xml:space="preserve">September </w:t>
                              </w:r>
                              <w:r w:rsidR="00D80621">
                                <w:rPr>
                                  <w:rFonts w:ascii="Arial" w:hAnsi="Arial" w:cs="Arial"/>
                                  <w:sz w:val="17"/>
                                  <w:szCs w:val="17"/>
                                </w:rPr>
                                <w:t>21</w:t>
                              </w:r>
                              <w:r>
                                <w:rPr>
                                  <w:rFonts w:ascii="Arial" w:hAnsi="Arial" w:cs="Arial"/>
                                  <w:sz w:val="17"/>
                                  <w:szCs w:val="17"/>
                                </w:rPr>
                                <w:t>, 2017</w:t>
                              </w:r>
                              <w:r w:rsidRPr="00737AE6">
                                <w:rPr>
                                  <w:rFonts w:ascii="Arial" w:hAnsi="Arial" w:cs="Arial"/>
                                  <w:sz w:val="17"/>
                                  <w:szCs w:val="17"/>
                                </w:rPr>
                                <w:br/>
                                <w:t xml:space="preserve">Contact: </w:t>
                              </w:r>
                              <w:r>
                                <w:rPr>
                                  <w:rFonts w:ascii="Arial" w:hAnsi="Arial" w:cs="Arial"/>
                                  <w:sz w:val="17"/>
                                  <w:szCs w:val="17"/>
                                </w:rPr>
                                <w:t xml:space="preserve">Todd </w:t>
                              </w:r>
                              <w:proofErr w:type="spellStart"/>
                              <w:r>
                                <w:rPr>
                                  <w:rFonts w:ascii="Arial" w:hAnsi="Arial" w:cs="Arial"/>
                                  <w:sz w:val="17"/>
                                  <w:szCs w:val="17"/>
                                </w:rPr>
                                <w:t>Washam</w:t>
                              </w:r>
                              <w:proofErr w:type="spellEnd"/>
                            </w:p>
                            <w:p w:rsidR="00291C8E" w:rsidRDefault="00291C8E" w:rsidP="007F6E26">
                              <w:pPr>
                                <w:spacing w:after="0" w:line="240" w:lineRule="auto"/>
                                <w:rPr>
                                  <w:rFonts w:ascii="Calibri" w:hAnsi="Calibri" w:cs="Calibri"/>
                                  <w:color w:val="1F497D"/>
                                </w:rPr>
                              </w:pPr>
                              <w:r w:rsidRPr="00737AE6">
                                <w:rPr>
                                  <w:rFonts w:ascii="Arial" w:hAnsi="Arial" w:cs="Arial"/>
                                  <w:sz w:val="17"/>
                                  <w:szCs w:val="17"/>
                                </w:rPr>
                                <w:t>703-824-8864</w:t>
                              </w:r>
                            </w:p>
                          </w:tc>
                        </w:tr>
                      </w:tbl>
                      <w:p w:rsidR="00291C8E" w:rsidRDefault="00291C8E" w:rsidP="00291C8E">
                        <w:pPr>
                          <w:ind w:left="165"/>
                          <w:rPr>
                            <w:rFonts w:ascii="Times New Roman" w:eastAsia="Times New Roman" w:hAnsi="Times New Roman" w:cs="Times New Roman"/>
                            <w:sz w:val="20"/>
                            <w:szCs w:val="20"/>
                          </w:rPr>
                        </w:pPr>
                      </w:p>
                    </w:tc>
                  </w:tr>
                </w:tbl>
                <w:p w:rsidR="00291C8E" w:rsidRDefault="00291C8E" w:rsidP="00291C8E">
                  <w:pPr>
                    <w:ind w:left="165"/>
                    <w:rPr>
                      <w:rFonts w:ascii="Times New Roman" w:eastAsia="Times New Roman" w:hAnsi="Times New Roman" w:cs="Times New Roman"/>
                      <w:sz w:val="20"/>
                      <w:szCs w:val="20"/>
                    </w:rPr>
                  </w:pPr>
                </w:p>
              </w:tc>
            </w:tr>
          </w:tbl>
          <w:p w:rsidR="00291C8E" w:rsidRDefault="00291C8E" w:rsidP="00291C8E">
            <w:pPr>
              <w:ind w:left="165"/>
              <w:rPr>
                <w:rFonts w:ascii="Times New Roman" w:eastAsia="Times New Roman" w:hAnsi="Times New Roman" w:cs="Times New Roman"/>
                <w:sz w:val="20"/>
                <w:szCs w:val="20"/>
              </w:rPr>
            </w:pPr>
          </w:p>
        </w:tc>
      </w:tr>
      <w:tr w:rsidR="00291C8E" w:rsidTr="00291C8E">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tcMar>
                                <w:top w:w="135" w:type="dxa"/>
                                <w:left w:w="270" w:type="dxa"/>
                                <w:bottom w:w="135" w:type="dxa"/>
                                <w:right w:w="270" w:type="dxa"/>
                              </w:tcMar>
                              <w:hideMark/>
                            </w:tcPr>
                            <w:p w:rsidR="006D2BBD" w:rsidRPr="007F1C9B" w:rsidRDefault="007F1C9B" w:rsidP="007F6E26">
                              <w:pPr>
                                <w:pStyle w:val="Heading3"/>
                                <w:spacing w:before="0" w:beforeAutospacing="0" w:after="0" w:afterAutospacing="0"/>
                                <w:ind w:left="165"/>
                                <w:jc w:val="center"/>
                                <w:rPr>
                                  <w:rFonts w:asciiTheme="minorHAnsi" w:hAnsiTheme="minorHAnsi" w:cstheme="minorHAnsi"/>
                                </w:rPr>
                              </w:pPr>
                              <w:r>
                                <w:rPr>
                                  <w:rStyle w:val="Strong"/>
                                  <w:rFonts w:asciiTheme="minorHAnsi" w:hAnsiTheme="minorHAnsi" w:cstheme="minorHAnsi"/>
                                  <w:b/>
                                  <w:bCs/>
                                </w:rPr>
                                <w:t>ACCA Hails Workforce Development Legislation</w:t>
                              </w:r>
                            </w:p>
                          </w:tc>
                        </w:tr>
                      </w:tbl>
                      <w:p w:rsidR="00291C8E" w:rsidRDefault="00291C8E" w:rsidP="00291C8E">
                        <w:pPr>
                          <w:ind w:left="165"/>
                          <w:jc w:val="center"/>
                          <w:rPr>
                            <w:rFonts w:ascii="Times New Roman" w:eastAsia="Times New Roman" w:hAnsi="Times New Roman" w:cs="Times New Roman"/>
                            <w:sz w:val="20"/>
                            <w:szCs w:val="20"/>
                          </w:rPr>
                        </w:pPr>
                      </w:p>
                    </w:tc>
                  </w:tr>
                </w:tbl>
                <w:p w:rsidR="00291C8E" w:rsidRDefault="00291C8E" w:rsidP="00291C8E">
                  <w:pPr>
                    <w:ind w:left="165"/>
                    <w:jc w:val="center"/>
                    <w:rPr>
                      <w:rFonts w:ascii="Times New Roman" w:eastAsia="Times New Roman" w:hAnsi="Times New Roman" w:cs="Times New Roman"/>
                      <w:sz w:val="20"/>
                      <w:szCs w:val="20"/>
                    </w:rPr>
                  </w:pPr>
                </w:p>
              </w:tc>
            </w:tr>
          </w:tbl>
          <w:p w:rsidR="00291C8E" w:rsidRDefault="00291C8E" w:rsidP="00291C8E">
            <w:pPr>
              <w:ind w:left="165"/>
              <w:jc w:val="center"/>
              <w:rPr>
                <w:rFonts w:ascii="Times New Roman" w:eastAsia="Times New Roman" w:hAnsi="Times New Roman" w:cs="Times New Roman"/>
                <w:sz w:val="20"/>
                <w:szCs w:val="20"/>
              </w:rPr>
            </w:pPr>
          </w:p>
        </w:tc>
      </w:tr>
      <w:tr w:rsidR="00291C8E" w:rsidTr="00291C8E">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5000" w:type="pct"/>
                    <w:tblCellMar>
                      <w:left w:w="0" w:type="dxa"/>
                      <w:right w:w="0" w:type="dxa"/>
                    </w:tblCellMar>
                    <w:tblLook w:val="04A0" w:firstRow="1" w:lastRow="0" w:firstColumn="1" w:lastColumn="0" w:noHBand="0" w:noVBand="1"/>
                  </w:tblPr>
                  <w:tblGrid>
                    <w:gridCol w:w="10215"/>
                  </w:tblGrid>
                  <w:tr w:rsidR="00291C8E" w:rsidTr="00FE2D42">
                    <w:tc>
                      <w:tcPr>
                        <w:tcW w:w="5000" w:type="pct"/>
                        <w:hideMark/>
                      </w:tcPr>
                      <w:tbl>
                        <w:tblPr>
                          <w:tblW w:w="9525" w:type="dxa"/>
                          <w:tblCellMar>
                            <w:left w:w="0" w:type="dxa"/>
                            <w:right w:w="0" w:type="dxa"/>
                          </w:tblCellMar>
                          <w:tblLook w:val="04A0" w:firstRow="1" w:lastRow="0" w:firstColumn="1" w:lastColumn="0" w:noHBand="0" w:noVBand="1"/>
                        </w:tblPr>
                        <w:tblGrid>
                          <w:gridCol w:w="10215"/>
                        </w:tblGrid>
                        <w:tr w:rsidR="00291C8E" w:rsidTr="00FE2D42">
                          <w:trPr>
                            <w:trHeight w:val="5688"/>
                          </w:trPr>
                          <w:tc>
                            <w:tcPr>
                              <w:tcW w:w="5000" w:type="pct"/>
                              <w:tcMar>
                                <w:top w:w="135" w:type="dxa"/>
                                <w:left w:w="270" w:type="dxa"/>
                                <w:bottom w:w="135" w:type="dxa"/>
                                <w:right w:w="270" w:type="dxa"/>
                              </w:tcMar>
                            </w:tcPr>
                            <w:p w:rsidR="003569DA"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Arlington, VA, September 2</w:t>
                              </w:r>
                              <w:r w:rsidRPr="004B14E2">
                                <w:rPr>
                                  <w:rFonts w:ascii="Times New Roman" w:hAnsi="Times New Roman" w:cs="Times New Roman"/>
                                  <w:bCs/>
                                  <w:sz w:val="24"/>
                                  <w:szCs w:val="24"/>
                                </w:rPr>
                                <w:t>1</w:t>
                              </w:r>
                              <w:r w:rsidRPr="00D80621">
                                <w:rPr>
                                  <w:rFonts w:ascii="Times New Roman" w:hAnsi="Times New Roman" w:cs="Times New Roman"/>
                                  <w:bCs/>
                                  <w:sz w:val="24"/>
                                  <w:szCs w:val="24"/>
                                </w:rPr>
                                <w:t>, 2017 – The Air Conditioning Contractors of America (ACCA) has announced its enthusiastic support fo</w:t>
                              </w:r>
                              <w:bookmarkStart w:id="0" w:name="_GoBack"/>
                              <w:bookmarkEnd w:id="0"/>
                              <w:r w:rsidRPr="00D80621">
                                <w:rPr>
                                  <w:rFonts w:ascii="Times New Roman" w:hAnsi="Times New Roman" w:cs="Times New Roman"/>
                                  <w:bCs/>
                                  <w:sz w:val="24"/>
                                  <w:szCs w:val="24"/>
                                </w:rPr>
                                <w:t xml:space="preserve">r S. 1841, legislation to amend the National Apprenticeship Act, introduced by Senator Roger Wicker (R-Miss). </w:t>
                              </w:r>
                            </w:p>
                            <w:p w:rsidR="003569DA" w:rsidRPr="00D80621" w:rsidRDefault="003569DA"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This legislation would codify a portion of President Trump’s Executive Order “</w:t>
                              </w:r>
                              <w:hyperlink r:id="rId5" w:history="1">
                                <w:r w:rsidRPr="00D80621">
                                  <w:rPr>
                                    <w:rStyle w:val="Hyperlink"/>
                                    <w:rFonts w:ascii="Times New Roman" w:hAnsi="Times New Roman" w:cs="Times New Roman"/>
                                    <w:bCs/>
                                    <w:color w:val="0070C0"/>
                                    <w:sz w:val="24"/>
                                    <w:szCs w:val="24"/>
                                  </w:rPr>
                                  <w:t>Expanding Apprenticeships in America</w:t>
                                </w:r>
                              </w:hyperlink>
                              <w:r w:rsidRPr="00D80621">
                                <w:rPr>
                                  <w:rFonts w:ascii="Times New Roman" w:hAnsi="Times New Roman" w:cs="Times New Roman"/>
                                  <w:bCs/>
                                  <w:color w:val="0070C0"/>
                                  <w:sz w:val="24"/>
                                  <w:szCs w:val="24"/>
                                </w:rPr>
                                <w:t>.</w:t>
                              </w:r>
                              <w:r w:rsidRPr="00D80621">
                                <w:rPr>
                                  <w:rFonts w:ascii="Times New Roman" w:hAnsi="Times New Roman" w:cs="Times New Roman"/>
                                  <w:bCs/>
                                  <w:sz w:val="24"/>
                                  <w:szCs w:val="24"/>
                                </w:rPr>
                                <w:t>” Specifically, it would require the U.S. Department of Labor’s (DOL) State Apprenticeship Agency to act on applications to create an apprenticeship program within 90 days. This legislation would require applications pending for more than 90 days to be forwarded to DOL, which would then have 30 days to make a determination or the application is automatically approved.</w:t>
                              </w:r>
                            </w:p>
                            <w:p w:rsidR="00D80621" w:rsidRPr="00D80621" w:rsidRDefault="00D80621"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“Apprenticeships are an important workforce development tool,” Senator Wicker said. “These programs provide a unique opportunity for people to receive on-the-job training with experts in their field while they ‘earn as they learn.’ Streamlining government bureaucracy will make it easier for employers to create apprenticeship programs, which would help fill millions of jobs currently available in air conditioning, plumbing, electrical, and other high-tech industries.”</w:t>
                              </w:r>
                            </w:p>
                            <w:p w:rsidR="00D80621" w:rsidRPr="00D80621" w:rsidRDefault="00D80621"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 xml:space="preserve">“This legislation could be a game changer for the HVAC and refrigeration industry, which is in desperate need of technical staff,” said ACCA Chairman of the Board, Don Langston, President of </w:t>
                              </w:r>
                              <w:proofErr w:type="spellStart"/>
                              <w:r w:rsidRPr="00D80621">
                                <w:rPr>
                                  <w:rFonts w:ascii="Times New Roman" w:hAnsi="Times New Roman" w:cs="Times New Roman"/>
                                  <w:bCs/>
                                  <w:sz w:val="24"/>
                                  <w:szCs w:val="24"/>
                                </w:rPr>
                                <w:t>Aire</w:t>
                              </w:r>
                              <w:proofErr w:type="spellEnd"/>
                              <w:r w:rsidRPr="00D80621">
                                <w:rPr>
                                  <w:rFonts w:ascii="Times New Roman" w:hAnsi="Times New Roman" w:cs="Times New Roman"/>
                                  <w:bCs/>
                                  <w:sz w:val="24"/>
                                  <w:szCs w:val="24"/>
                                </w:rPr>
                                <w:t xml:space="preserve"> Rite Refrigeration and Air Conditioning, Huntington Beach, CA. “My goal, as Chairman of ACCA, has been to help address the skills gap and workforce challenges that the industry is facing. I offer the full support of the Air Conditioning Contractors of America as Senator Wicker works to advance this legislation.” </w:t>
                              </w:r>
                            </w:p>
                            <w:p w:rsidR="00D80621" w:rsidRPr="00D80621" w:rsidRDefault="00D80621" w:rsidP="00D80621">
                              <w:pPr>
                                <w:spacing w:after="0" w:line="240" w:lineRule="auto"/>
                                <w:ind w:right="165"/>
                                <w:rPr>
                                  <w:rFonts w:ascii="Times New Roman" w:hAnsi="Times New Roman" w:cs="Times New Roman"/>
                                  <w:bCs/>
                                  <w:sz w:val="24"/>
                                  <w:szCs w:val="24"/>
                                  <w:highlight w:val="yellow"/>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 xml:space="preserve">“As a </w:t>
                              </w:r>
                              <w:r w:rsidR="00A84D01">
                                <w:rPr>
                                  <w:rFonts w:ascii="Times New Roman" w:hAnsi="Times New Roman" w:cs="Times New Roman"/>
                                  <w:bCs/>
                                  <w:sz w:val="24"/>
                                  <w:szCs w:val="24"/>
                                </w:rPr>
                                <w:t>m</w:t>
                              </w:r>
                              <w:r w:rsidRPr="00D80621">
                                <w:rPr>
                                  <w:rFonts w:ascii="Times New Roman" w:hAnsi="Times New Roman" w:cs="Times New Roman"/>
                                  <w:bCs/>
                                  <w:sz w:val="24"/>
                                  <w:szCs w:val="24"/>
                                </w:rPr>
                                <w:t xml:space="preserve">echanical contractor in Mississippi, I am thrilled that my Senator is fighting for my industry," said ACCA Board Member Keith Paton, Vice President of </w:t>
                              </w:r>
                              <w:r>
                                <w:rPr>
                                  <w:rFonts w:ascii="Times New Roman" w:hAnsi="Times New Roman" w:cs="Times New Roman"/>
                                  <w:bCs/>
                                  <w:sz w:val="24"/>
                                  <w:szCs w:val="24"/>
                                </w:rPr>
                                <w:t>Service for Ivey Mechanical Co.,</w:t>
                              </w:r>
                              <w:r w:rsidR="00F10DF7">
                                <w:rPr>
                                  <w:rFonts w:ascii="Times New Roman" w:hAnsi="Times New Roman" w:cs="Times New Roman"/>
                                  <w:bCs/>
                                  <w:sz w:val="24"/>
                                  <w:szCs w:val="24"/>
                                </w:rPr>
                                <w:t xml:space="preserve"> </w:t>
                              </w:r>
                              <w:r w:rsidR="00FF4D4B">
                                <w:rPr>
                                  <w:rFonts w:ascii="Times New Roman" w:hAnsi="Times New Roman" w:cs="Times New Roman"/>
                                  <w:bCs/>
                                  <w:sz w:val="24"/>
                                  <w:szCs w:val="24"/>
                                </w:rPr>
                                <w:t xml:space="preserve">headquartered in </w:t>
                              </w:r>
                              <w:r w:rsidRPr="00D80621">
                                <w:rPr>
                                  <w:rFonts w:ascii="Times New Roman" w:hAnsi="Times New Roman" w:cs="Times New Roman"/>
                                  <w:bCs/>
                                  <w:sz w:val="24"/>
                                  <w:szCs w:val="24"/>
                                </w:rPr>
                                <w:t>Kosciusko, MS</w:t>
                              </w:r>
                              <w:r w:rsidR="00F10DF7">
                                <w:rPr>
                                  <w:rFonts w:ascii="Times New Roman" w:hAnsi="Times New Roman" w:cs="Times New Roman"/>
                                  <w:bCs/>
                                  <w:sz w:val="24"/>
                                  <w:szCs w:val="24"/>
                                </w:rPr>
                                <w:t xml:space="preserve"> with offices </w:t>
                              </w:r>
                              <w:r w:rsidR="003E16B6">
                                <w:rPr>
                                  <w:rFonts w:ascii="Times New Roman" w:hAnsi="Times New Roman" w:cs="Times New Roman"/>
                                  <w:bCs/>
                                  <w:sz w:val="24"/>
                                  <w:szCs w:val="24"/>
                                </w:rPr>
                                <w:t>located throughout the Southeast.</w:t>
                              </w:r>
                              <w:r w:rsidRPr="00D80621">
                                <w:rPr>
                                  <w:rFonts w:ascii="Times New Roman" w:hAnsi="Times New Roman" w:cs="Times New Roman"/>
                                  <w:bCs/>
                                  <w:sz w:val="24"/>
                                  <w:szCs w:val="24"/>
                                </w:rPr>
                                <w:t xml:space="preserve"> "Our industry is in desperate need of new talent. Increased opportunities for apprenticeship programs will be vital to fulfilling the need for construction field co-workers and the 115,000 HVAC technician jobs that our industry has to fill by 2022</w:t>
                              </w:r>
                              <w:r w:rsidR="00215682">
                                <w:rPr>
                                  <w:rFonts w:ascii="Times New Roman" w:hAnsi="Times New Roman" w:cs="Times New Roman"/>
                                  <w:bCs/>
                                  <w:sz w:val="24"/>
                                  <w:szCs w:val="24"/>
                                </w:rPr>
                                <w:t>.”</w:t>
                              </w:r>
                            </w:p>
                            <w:p w:rsidR="00D80621" w:rsidRPr="00D80621" w:rsidRDefault="00D80621"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lastRenderedPageBreak/>
                                <w:t>As the heating, ventilation, air conditioning, and refrigeration (HVACR) industry grows, the HVAC Workforce Development Foundation estimates that the U.S. will need 115,000 HVACR technician jobs by 2022. And, the Georgetown University Center on Education and the Workforce estimates that skilled apprentices in the U.S. earn more money over a lifetime than the average college graduate. Additionally, the average starting wages for apprentices is $60,000 annually, without the burden of student loan debt.</w:t>
                              </w:r>
                            </w:p>
                            <w:p w:rsidR="00D80621" w:rsidRPr="00D80621" w:rsidRDefault="00D80621"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 xml:space="preserve">ACCA is playing a leading role working with the Department of Labor, Members of Congress, and numerous educational associations to address the skills gap and workforce development needs of the HVACR industry. ACCA is a Foundation Sustaining Member of the HVAC Workforce Development Program and a partner in the Rees Scholarship Foundation which has awarded more than $680,000 in HVACR education scholarships. </w:t>
                              </w:r>
                            </w:p>
                            <w:p w:rsidR="00D80621" w:rsidRPr="00D80621" w:rsidRDefault="00D80621" w:rsidP="00D80621">
                              <w:pPr>
                                <w:spacing w:after="0" w:line="240" w:lineRule="auto"/>
                                <w:ind w:right="165"/>
                                <w:rPr>
                                  <w:rFonts w:ascii="Times New Roman" w:hAnsi="Times New Roman" w:cs="Times New Roman"/>
                                  <w:bCs/>
                                  <w:sz w:val="24"/>
                                  <w:szCs w:val="24"/>
                                </w:rPr>
                              </w:pPr>
                            </w:p>
                            <w:p w:rsidR="00D80621" w:rsidRPr="00D80621" w:rsidRDefault="00D80621" w:rsidP="00D80621">
                              <w:pPr>
                                <w:spacing w:after="0" w:line="240" w:lineRule="auto"/>
                                <w:ind w:right="165"/>
                                <w:rPr>
                                  <w:rFonts w:ascii="Times New Roman" w:hAnsi="Times New Roman" w:cs="Times New Roman"/>
                                  <w:bCs/>
                                  <w:sz w:val="24"/>
                                  <w:szCs w:val="24"/>
                                </w:rPr>
                              </w:pPr>
                              <w:r w:rsidRPr="00D80621">
                                <w:rPr>
                                  <w:rFonts w:ascii="Times New Roman" w:hAnsi="Times New Roman" w:cs="Times New Roman"/>
                                  <w:bCs/>
                                  <w:sz w:val="24"/>
                                  <w:szCs w:val="24"/>
                                </w:rPr>
                                <w:t xml:space="preserve">For more information, please contact Todd </w:t>
                              </w:r>
                              <w:proofErr w:type="spellStart"/>
                              <w:r w:rsidRPr="00D80621">
                                <w:rPr>
                                  <w:rFonts w:ascii="Times New Roman" w:hAnsi="Times New Roman" w:cs="Times New Roman"/>
                                  <w:bCs/>
                                  <w:sz w:val="24"/>
                                  <w:szCs w:val="24"/>
                                </w:rPr>
                                <w:t>Washam</w:t>
                              </w:r>
                              <w:proofErr w:type="spellEnd"/>
                              <w:r w:rsidRPr="00D80621">
                                <w:rPr>
                                  <w:rFonts w:ascii="Times New Roman" w:hAnsi="Times New Roman" w:cs="Times New Roman"/>
                                  <w:bCs/>
                                  <w:sz w:val="24"/>
                                  <w:szCs w:val="24"/>
                                </w:rPr>
                                <w:t xml:space="preserve">, ACCA’s Director of Industry and External Relations, at </w:t>
                              </w:r>
                              <w:hyperlink r:id="rId6" w:history="1">
                                <w:r w:rsidRPr="00D80621">
                                  <w:rPr>
                                    <w:rStyle w:val="Hyperlink"/>
                                    <w:rFonts w:ascii="Times New Roman" w:hAnsi="Times New Roman" w:cs="Times New Roman"/>
                                    <w:bCs/>
                                    <w:sz w:val="24"/>
                                    <w:szCs w:val="24"/>
                                  </w:rPr>
                                  <w:t>todd.washam@acca.org</w:t>
                                </w:r>
                              </w:hyperlink>
                              <w:r w:rsidRPr="00D80621">
                                <w:rPr>
                                  <w:rFonts w:ascii="Times New Roman" w:hAnsi="Times New Roman" w:cs="Times New Roman"/>
                                  <w:bCs/>
                                  <w:sz w:val="24"/>
                                  <w:szCs w:val="24"/>
                                </w:rPr>
                                <w:t xml:space="preserve"> or 703-824-8864 (direct).</w:t>
                              </w:r>
                            </w:p>
                            <w:p w:rsidR="00BA7F07" w:rsidRPr="00BA7F07" w:rsidRDefault="00BA7F07" w:rsidP="00BA7F07">
                              <w:pPr>
                                <w:spacing w:after="0" w:line="240" w:lineRule="auto"/>
                                <w:ind w:right="165"/>
                                <w:rPr>
                                  <w:rFonts w:ascii="Times New Roman" w:eastAsia="Times New Roman" w:hAnsi="Times New Roman" w:cs="Times New Roman"/>
                                </w:rPr>
                              </w:pPr>
                            </w:p>
                            <w:tbl>
                              <w:tblPr>
                                <w:tblW w:w="5096" w:type="pct"/>
                                <w:tblCellMar>
                                  <w:top w:w="15" w:type="dxa"/>
                                  <w:left w:w="15" w:type="dxa"/>
                                  <w:bottom w:w="15" w:type="dxa"/>
                                  <w:right w:w="15" w:type="dxa"/>
                                </w:tblCellMar>
                                <w:tblLook w:val="04A0" w:firstRow="1" w:lastRow="0" w:firstColumn="1" w:lastColumn="0" w:noHBand="0" w:noVBand="1"/>
                              </w:tblPr>
                              <w:tblGrid>
                                <w:gridCol w:w="9861"/>
                              </w:tblGrid>
                              <w:tr w:rsidR="00BA7F07" w:rsidRPr="00BA7F07" w:rsidTr="00BA7F07">
                                <w:tc>
                                  <w:tcPr>
                                    <w:tcW w:w="5000" w:type="pct"/>
                                    <w:vAlign w:val="center"/>
                                    <w:hideMark/>
                                  </w:tcPr>
                                  <w:p w:rsidR="00BA7F07" w:rsidRPr="00BA7F07" w:rsidRDefault="00AA73CB" w:rsidP="00BA7F07">
                                    <w:pPr>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tc>
                              </w:tr>
                            </w:tbl>
                            <w:tbl>
                              <w:tblPr>
                                <w:tblpPr w:leftFromText="180" w:rightFromText="180" w:vertAnchor="text" w:horzAnchor="margin" w:tblpY="219"/>
                                <w:tblOverlap w:val="never"/>
                                <w:tblW w:w="9525" w:type="dxa"/>
                                <w:tblCellMar>
                                  <w:left w:w="0" w:type="dxa"/>
                                  <w:right w:w="0" w:type="dxa"/>
                                </w:tblCellMar>
                                <w:tblLook w:val="04A0" w:firstRow="1" w:lastRow="0" w:firstColumn="1" w:lastColumn="0" w:noHBand="0" w:noVBand="1"/>
                              </w:tblPr>
                              <w:tblGrid>
                                <w:gridCol w:w="9525"/>
                              </w:tblGrid>
                              <w:tr w:rsidR="00291C8E" w:rsidTr="00FE2D42">
                                <w:trPr>
                                  <w:trHeight w:val="1860"/>
                                </w:trPr>
                                <w:tc>
                                  <w:tcPr>
                                    <w:tcW w:w="5000" w:type="pct"/>
                                    <w:tcMar>
                                      <w:top w:w="135" w:type="dxa"/>
                                      <w:left w:w="270" w:type="dxa"/>
                                      <w:bottom w:w="135" w:type="dxa"/>
                                      <w:right w:w="270" w:type="dxa"/>
                                    </w:tcMar>
                                    <w:hideMark/>
                                  </w:tcPr>
                                  <w:p w:rsidR="00291C8E" w:rsidRDefault="00291C8E" w:rsidP="00AC22AC">
                                    <w:pPr>
                                      <w:spacing w:after="0" w:line="240" w:lineRule="auto"/>
                                      <w:ind w:left="-90" w:right="165" w:hanging="180"/>
                                      <w:rPr>
                                        <w:rFonts w:ascii="Arial" w:hAnsi="Arial" w:cs="Arial"/>
                                        <w:b/>
                                        <w:bCs/>
                                      </w:rPr>
                                    </w:pPr>
                                    <w:r>
                                      <w:rPr>
                                        <w:rFonts w:ascii="Arial" w:hAnsi="Arial" w:cs="Arial"/>
                                        <w:b/>
                                        <w:bCs/>
                                      </w:rPr>
                                      <w:t>About ACCA</w:t>
                                    </w:r>
                                  </w:p>
                                  <w:p w:rsidR="00291C8E" w:rsidRDefault="00291C8E" w:rsidP="00AC22AC">
                                    <w:pPr>
                                      <w:spacing w:after="0" w:line="240" w:lineRule="auto"/>
                                      <w:ind w:left="-270" w:right="165"/>
                                      <w:rPr>
                                        <w:rStyle w:val="Emphasis"/>
                                        <w:rFonts w:ascii="Arial" w:hAnsi="Arial" w:cs="Arial"/>
                                        <w:sz w:val="17"/>
                                        <w:szCs w:val="17"/>
                                      </w:rPr>
                                    </w:pPr>
                                    <w:r>
                                      <w:rPr>
                                        <w:rStyle w:val="Emphasis"/>
                                        <w:rFonts w:ascii="Arial" w:hAnsi="Arial" w:cs="Arial"/>
                                        <w:sz w:val="17"/>
                                        <w:szCs w:val="17"/>
                                      </w:rPr>
                                      <w:t xml:space="preserve">The Air Conditioning Contractors of America, is the nation’s premier trade association for heating, ventilation, air conditioning, and refrigeration contractors. ACCA’s member companies provide quality service in heating, air conditioning, refrigeration, building and home performance, solar, </w:t>
                                    </w:r>
                                    <w:proofErr w:type="spellStart"/>
                                    <w:r>
                                      <w:rPr>
                                        <w:rStyle w:val="Emphasis"/>
                                        <w:rFonts w:ascii="Arial" w:hAnsi="Arial" w:cs="Arial"/>
                                        <w:sz w:val="17"/>
                                        <w:szCs w:val="17"/>
                                      </w:rPr>
                                      <w:t>hydronics</w:t>
                                    </w:r>
                                    <w:proofErr w:type="spellEnd"/>
                                    <w:r>
                                      <w:rPr>
                                        <w:rStyle w:val="Emphasis"/>
                                        <w:rFonts w:ascii="Arial" w:hAnsi="Arial" w:cs="Arial"/>
                                        <w:sz w:val="17"/>
                                        <w:szCs w:val="17"/>
                                      </w:rPr>
                                      <w:t>, and plumbing. ACCA has created the nat</w:t>
                                    </w:r>
                                    <w:r w:rsidR="00A03F21">
                                      <w:rPr>
                                        <w:rStyle w:val="Emphasis"/>
                                        <w:rFonts w:ascii="Arial" w:hAnsi="Arial" w:cs="Arial"/>
                                        <w:sz w:val="17"/>
                                        <w:szCs w:val="17"/>
                                      </w:rPr>
                                      <w:t>ionally-recognized and industry-</w:t>
                                    </w:r>
                                    <w:r>
                                      <w:rPr>
                                        <w:rStyle w:val="Emphasis"/>
                                        <w:rFonts w:ascii="Arial" w:hAnsi="Arial" w:cs="Arial"/>
                                        <w:sz w:val="17"/>
                                        <w:szCs w:val="17"/>
                                      </w:rPr>
                                      <w:t>endorsed standard</w:t>
                                    </w:r>
                                    <w:r w:rsidR="00A03F21">
                                      <w:rPr>
                                        <w:rStyle w:val="Emphasis"/>
                                        <w:rFonts w:ascii="Arial" w:hAnsi="Arial" w:cs="Arial"/>
                                        <w:sz w:val="17"/>
                                        <w:szCs w:val="17"/>
                                      </w:rPr>
                                      <w:t>s</w:t>
                                    </w:r>
                                    <w:r>
                                      <w:rPr>
                                        <w:rStyle w:val="Emphasis"/>
                                        <w:rFonts w:ascii="Arial" w:hAnsi="Arial" w:cs="Arial"/>
                                        <w:sz w:val="17"/>
                                        <w:szCs w:val="17"/>
                                      </w:rPr>
                                      <w:t xml:space="preserve"> needed to ensure HVACR systems are properly installed and maintained. Learn more at </w:t>
                                    </w:r>
                                    <w:hyperlink r:id="rId7" w:history="1">
                                      <w:r w:rsidRPr="00F87BC7">
                                        <w:rPr>
                                          <w:rStyle w:val="Hyperlink"/>
                                          <w:rFonts w:ascii="Arial" w:hAnsi="Arial" w:cs="Arial"/>
                                          <w:sz w:val="17"/>
                                          <w:szCs w:val="17"/>
                                        </w:rPr>
                                        <w:t>www.acca.org</w:t>
                                      </w:r>
                                    </w:hyperlink>
                                    <w:r>
                                      <w:rPr>
                                        <w:rStyle w:val="Emphasis"/>
                                        <w:rFonts w:ascii="Arial" w:hAnsi="Arial" w:cs="Arial"/>
                                        <w:sz w:val="17"/>
                                        <w:szCs w:val="17"/>
                                      </w:rPr>
                                      <w:t>.</w:t>
                                    </w:r>
                                  </w:p>
                                  <w:p w:rsidR="00291C8E" w:rsidRDefault="00291C8E" w:rsidP="00AC22AC">
                                    <w:pPr>
                                      <w:spacing w:after="0" w:line="240" w:lineRule="auto"/>
                                      <w:ind w:left="165" w:right="165"/>
                                      <w:rPr>
                                        <w:rStyle w:val="Emphasis"/>
                                        <w:rFonts w:ascii="Arial" w:hAnsi="Arial" w:cs="Arial"/>
                                        <w:sz w:val="17"/>
                                        <w:szCs w:val="17"/>
                                      </w:rPr>
                                    </w:pPr>
                                  </w:p>
                                  <w:p w:rsidR="00291C8E" w:rsidRPr="00121871" w:rsidRDefault="00291C8E" w:rsidP="00AC22AC">
                                    <w:pPr>
                                      <w:ind w:left="165" w:right="165"/>
                                      <w:jc w:val="center"/>
                                      <w:rPr>
                                        <w:rFonts w:ascii="Times New Roman" w:hAnsi="Times New Roman" w:cs="Times New Roman"/>
                                        <w:color w:val="505050"/>
                                        <w:sz w:val="17"/>
                                        <w:szCs w:val="17"/>
                                      </w:rPr>
                                    </w:pPr>
                                    <w:r w:rsidRPr="00121871">
                                      <w:rPr>
                                        <w:rFonts w:ascii="Times New Roman" w:hAnsi="Times New Roman" w:cs="Times New Roman"/>
                                      </w:rPr>
                                      <w:t>###</w:t>
                                    </w:r>
                                  </w:p>
                                </w:tc>
                              </w:tr>
                            </w:tbl>
                            <w:p w:rsidR="00291C8E" w:rsidRDefault="00291C8E" w:rsidP="00291C8E">
                              <w:pPr>
                                <w:ind w:left="165"/>
                                <w:jc w:val="center"/>
                                <w:rPr>
                                  <w:rFonts w:ascii="Times New Roman" w:hAnsi="Times New Roman" w:cs="Times New Roman"/>
                                  <w:color w:val="1F497D"/>
                                </w:rPr>
                              </w:pPr>
                            </w:p>
                          </w:tc>
                        </w:tr>
                      </w:tbl>
                      <w:p w:rsidR="00291C8E" w:rsidRDefault="00291C8E" w:rsidP="00291C8E">
                        <w:pPr>
                          <w:ind w:left="165"/>
                          <w:jc w:val="center"/>
                          <w:rPr>
                            <w:rFonts w:ascii="Times New Roman" w:eastAsia="Times New Roman" w:hAnsi="Times New Roman" w:cs="Times New Roman"/>
                            <w:sz w:val="20"/>
                            <w:szCs w:val="20"/>
                          </w:rPr>
                        </w:pPr>
                      </w:p>
                    </w:tc>
                  </w:tr>
                </w:tbl>
                <w:p w:rsidR="00291C8E" w:rsidRDefault="00291C8E" w:rsidP="00291C8E">
                  <w:pPr>
                    <w:ind w:left="165"/>
                    <w:jc w:val="center"/>
                    <w:rPr>
                      <w:rFonts w:ascii="Times New Roman" w:eastAsia="Times New Roman" w:hAnsi="Times New Roman" w:cs="Times New Roman"/>
                      <w:sz w:val="20"/>
                      <w:szCs w:val="20"/>
                    </w:rPr>
                  </w:pPr>
                </w:p>
              </w:tc>
            </w:tr>
          </w:tbl>
          <w:p w:rsidR="00291C8E" w:rsidRDefault="00291C8E" w:rsidP="00291C8E">
            <w:pPr>
              <w:ind w:left="165"/>
              <w:jc w:val="center"/>
              <w:rPr>
                <w:rFonts w:ascii="Times New Roman" w:eastAsia="Times New Roman" w:hAnsi="Times New Roman" w:cs="Times New Roman"/>
                <w:sz w:val="20"/>
                <w:szCs w:val="20"/>
              </w:rPr>
            </w:pPr>
          </w:p>
        </w:tc>
      </w:tr>
    </w:tbl>
    <w:p w:rsidR="004027C9" w:rsidRDefault="004027C9"/>
    <w:sectPr w:rsidR="0040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8E"/>
    <w:rsid w:val="000816D0"/>
    <w:rsid w:val="001416AE"/>
    <w:rsid w:val="0018686A"/>
    <w:rsid w:val="00215682"/>
    <w:rsid w:val="00291C8E"/>
    <w:rsid w:val="002C2A0E"/>
    <w:rsid w:val="002E4AE7"/>
    <w:rsid w:val="00314D63"/>
    <w:rsid w:val="003569DA"/>
    <w:rsid w:val="003D4739"/>
    <w:rsid w:val="003E16B6"/>
    <w:rsid w:val="003F1020"/>
    <w:rsid w:val="004027C9"/>
    <w:rsid w:val="00431C6C"/>
    <w:rsid w:val="004B14E2"/>
    <w:rsid w:val="004C5F0C"/>
    <w:rsid w:val="0055457F"/>
    <w:rsid w:val="00572707"/>
    <w:rsid w:val="005D6296"/>
    <w:rsid w:val="00640B06"/>
    <w:rsid w:val="006855B9"/>
    <w:rsid w:val="006A6771"/>
    <w:rsid w:val="006D2BBD"/>
    <w:rsid w:val="00744B49"/>
    <w:rsid w:val="007575ED"/>
    <w:rsid w:val="007D2A26"/>
    <w:rsid w:val="007D5B71"/>
    <w:rsid w:val="007F1C9B"/>
    <w:rsid w:val="007F4187"/>
    <w:rsid w:val="007F6E26"/>
    <w:rsid w:val="00803675"/>
    <w:rsid w:val="00832547"/>
    <w:rsid w:val="0088179C"/>
    <w:rsid w:val="00886512"/>
    <w:rsid w:val="008B7CDC"/>
    <w:rsid w:val="008C3A13"/>
    <w:rsid w:val="009C4E44"/>
    <w:rsid w:val="009F0B70"/>
    <w:rsid w:val="009F275E"/>
    <w:rsid w:val="00A03F21"/>
    <w:rsid w:val="00A279BC"/>
    <w:rsid w:val="00A32A5B"/>
    <w:rsid w:val="00A84D01"/>
    <w:rsid w:val="00AA73CB"/>
    <w:rsid w:val="00AC22AC"/>
    <w:rsid w:val="00AD575F"/>
    <w:rsid w:val="00B37EF3"/>
    <w:rsid w:val="00B75B57"/>
    <w:rsid w:val="00BA7F07"/>
    <w:rsid w:val="00C16170"/>
    <w:rsid w:val="00C67B5F"/>
    <w:rsid w:val="00C75719"/>
    <w:rsid w:val="00D64CDC"/>
    <w:rsid w:val="00D745B2"/>
    <w:rsid w:val="00D80621"/>
    <w:rsid w:val="00EA01F1"/>
    <w:rsid w:val="00EE3742"/>
    <w:rsid w:val="00EF4B09"/>
    <w:rsid w:val="00F10DF7"/>
    <w:rsid w:val="00F21727"/>
    <w:rsid w:val="00F56F04"/>
    <w:rsid w:val="00FB126A"/>
    <w:rsid w:val="00FE6E3E"/>
    <w:rsid w:val="00FF4D49"/>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7227A-ACCD-422D-988A-20C5B660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8E"/>
  </w:style>
  <w:style w:type="paragraph" w:styleId="Heading3">
    <w:name w:val="heading 3"/>
    <w:basedOn w:val="Normal"/>
    <w:link w:val="Heading3Char"/>
    <w:uiPriority w:val="9"/>
    <w:unhideWhenUsed/>
    <w:qFormat/>
    <w:rsid w:val="00291C8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1C8E"/>
    <w:rPr>
      <w:rFonts w:ascii="Times New Roman" w:hAnsi="Times New Roman" w:cs="Times New Roman"/>
      <w:b/>
      <w:bCs/>
      <w:sz w:val="27"/>
      <w:szCs w:val="27"/>
    </w:rPr>
  </w:style>
  <w:style w:type="character" w:styleId="Hyperlink">
    <w:name w:val="Hyperlink"/>
    <w:basedOn w:val="DefaultParagraphFont"/>
    <w:uiPriority w:val="99"/>
    <w:unhideWhenUsed/>
    <w:rsid w:val="00291C8E"/>
    <w:rPr>
      <w:color w:val="0563C1"/>
      <w:u w:val="single"/>
    </w:rPr>
  </w:style>
  <w:style w:type="character" w:styleId="Strong">
    <w:name w:val="Strong"/>
    <w:basedOn w:val="DefaultParagraphFont"/>
    <w:uiPriority w:val="22"/>
    <w:qFormat/>
    <w:rsid w:val="00291C8E"/>
    <w:rPr>
      <w:b/>
      <w:bCs/>
    </w:rPr>
  </w:style>
  <w:style w:type="character" w:styleId="Emphasis">
    <w:name w:val="Emphasis"/>
    <w:basedOn w:val="DefaultParagraphFont"/>
    <w:uiPriority w:val="20"/>
    <w:qFormat/>
    <w:rsid w:val="00291C8E"/>
    <w:rPr>
      <w:i/>
      <w:iCs/>
    </w:rPr>
  </w:style>
  <w:style w:type="character" w:customStyle="1" w:styleId="scayt-misspell-word">
    <w:name w:val="scayt-misspell-word"/>
    <w:basedOn w:val="DefaultParagraphFont"/>
    <w:rsid w:val="00BA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36124">
      <w:bodyDiv w:val="1"/>
      <w:marLeft w:val="0"/>
      <w:marRight w:val="0"/>
      <w:marTop w:val="0"/>
      <w:marBottom w:val="0"/>
      <w:divBdr>
        <w:top w:val="none" w:sz="0" w:space="0" w:color="auto"/>
        <w:left w:val="none" w:sz="0" w:space="0" w:color="auto"/>
        <w:bottom w:val="none" w:sz="0" w:space="0" w:color="auto"/>
        <w:right w:val="none" w:sz="0" w:space="0" w:color="auto"/>
      </w:divBdr>
      <w:divsChild>
        <w:div w:id="1624072195">
          <w:marLeft w:val="0"/>
          <w:marRight w:val="0"/>
          <w:marTop w:val="0"/>
          <w:marBottom w:val="0"/>
          <w:divBdr>
            <w:top w:val="none" w:sz="0" w:space="0" w:color="auto"/>
            <w:left w:val="none" w:sz="0" w:space="0" w:color="auto"/>
            <w:bottom w:val="none" w:sz="0" w:space="0" w:color="auto"/>
            <w:right w:val="none" w:sz="0" w:space="0" w:color="auto"/>
          </w:divBdr>
        </w:div>
      </w:divsChild>
    </w:div>
    <w:div w:id="725102083">
      <w:bodyDiv w:val="1"/>
      <w:marLeft w:val="0"/>
      <w:marRight w:val="0"/>
      <w:marTop w:val="0"/>
      <w:marBottom w:val="0"/>
      <w:divBdr>
        <w:top w:val="none" w:sz="0" w:space="0" w:color="auto"/>
        <w:left w:val="none" w:sz="0" w:space="0" w:color="auto"/>
        <w:bottom w:val="none" w:sz="0" w:space="0" w:color="auto"/>
        <w:right w:val="none" w:sz="0" w:space="0" w:color="auto"/>
      </w:divBdr>
    </w:div>
    <w:div w:id="15403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washam@acca.org" TargetMode="External"/><Relationship Id="rId5" Type="http://schemas.openxmlformats.org/officeDocument/2006/relationships/hyperlink" Target="https://www.whitehouse.gov/the-press-office/2017/06/15/presidential-executive-order-expanding-apprenticeships-ameri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Washam</dc:creator>
  <cp:keywords/>
  <dc:description/>
  <cp:lastModifiedBy>Todd Washam</cp:lastModifiedBy>
  <cp:revision>31</cp:revision>
  <cp:lastPrinted>2017-09-21T18:25:00Z</cp:lastPrinted>
  <dcterms:created xsi:type="dcterms:W3CDTF">2017-09-20T17:18:00Z</dcterms:created>
  <dcterms:modified xsi:type="dcterms:W3CDTF">2017-09-21T18:25:00Z</dcterms:modified>
</cp:coreProperties>
</file>