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8BB" w:rsidRPr="00072003" w:rsidRDefault="0024429C" w:rsidP="00C75F0C">
      <w:pPr>
        <w:spacing w:after="0" w:line="240" w:lineRule="auto"/>
        <w:ind w:left="547" w:right="540"/>
        <w:rPr>
          <w:b/>
        </w:rPr>
      </w:pPr>
      <w:r w:rsidRPr="00072003">
        <w:rPr>
          <w:b/>
        </w:rPr>
        <w:t>For Immediate Release</w:t>
      </w:r>
    </w:p>
    <w:p w:rsidR="0024429C" w:rsidRDefault="00EF687A" w:rsidP="00C75F0C">
      <w:pPr>
        <w:spacing w:after="0" w:line="240" w:lineRule="auto"/>
        <w:ind w:left="547" w:right="540"/>
      </w:pPr>
      <w:r w:rsidRPr="00E85C77">
        <w:t>October</w:t>
      </w:r>
      <w:r w:rsidR="0088076D" w:rsidRPr="00E85C77">
        <w:t xml:space="preserve"> </w:t>
      </w:r>
      <w:r w:rsidR="0061288C">
        <w:t>27</w:t>
      </w:r>
      <w:r w:rsidR="00431E8E" w:rsidRPr="00E85C77">
        <w:t>, 2017</w:t>
      </w:r>
    </w:p>
    <w:p w:rsidR="0024429C" w:rsidRDefault="0024429C" w:rsidP="00C75F0C">
      <w:pPr>
        <w:spacing w:after="0" w:line="240" w:lineRule="auto"/>
        <w:ind w:left="547" w:right="540"/>
      </w:pPr>
      <w:r>
        <w:t>Contact</w:t>
      </w:r>
      <w:r w:rsidR="00B95395">
        <w:t>:</w:t>
      </w:r>
      <w:r>
        <w:t xml:space="preserve"> Todd </w:t>
      </w:r>
      <w:proofErr w:type="spellStart"/>
      <w:r>
        <w:t>Washam</w:t>
      </w:r>
      <w:proofErr w:type="spellEnd"/>
    </w:p>
    <w:p w:rsidR="0024429C" w:rsidRDefault="0024429C" w:rsidP="00C75F0C">
      <w:pPr>
        <w:spacing w:after="0" w:line="240" w:lineRule="auto"/>
        <w:ind w:left="547" w:right="540"/>
      </w:pPr>
      <w:r>
        <w:t>703-824-8864</w:t>
      </w:r>
    </w:p>
    <w:p w:rsidR="0024429C" w:rsidRDefault="0024429C" w:rsidP="00C75F0C">
      <w:pPr>
        <w:spacing w:after="0" w:line="240" w:lineRule="auto"/>
        <w:ind w:left="547" w:right="540"/>
      </w:pPr>
    </w:p>
    <w:p w:rsidR="001201F7" w:rsidRDefault="00A71FAE" w:rsidP="00567142">
      <w:pPr>
        <w:spacing w:after="0" w:line="240" w:lineRule="auto"/>
        <w:jc w:val="center"/>
        <w:rPr>
          <w:b/>
          <w:sz w:val="28"/>
          <w:szCs w:val="28"/>
        </w:rPr>
      </w:pPr>
      <w:r w:rsidRPr="00567142">
        <w:rPr>
          <w:b/>
          <w:sz w:val="28"/>
          <w:szCs w:val="28"/>
        </w:rPr>
        <w:t xml:space="preserve">ACCA Announces </w:t>
      </w:r>
      <w:r w:rsidR="001201F7" w:rsidRPr="00567142">
        <w:rPr>
          <w:b/>
          <w:sz w:val="28"/>
          <w:szCs w:val="28"/>
        </w:rPr>
        <w:t>45-day</w:t>
      </w:r>
      <w:r w:rsidRPr="00567142">
        <w:rPr>
          <w:b/>
          <w:sz w:val="28"/>
          <w:szCs w:val="28"/>
        </w:rPr>
        <w:t xml:space="preserve"> Public Review</w:t>
      </w:r>
      <w:r w:rsidR="001201F7">
        <w:rPr>
          <w:b/>
          <w:sz w:val="28"/>
          <w:szCs w:val="28"/>
        </w:rPr>
        <w:t xml:space="preserve"> of</w:t>
      </w:r>
      <w:r w:rsidRPr="00567142">
        <w:rPr>
          <w:b/>
          <w:sz w:val="28"/>
          <w:szCs w:val="28"/>
        </w:rPr>
        <w:t xml:space="preserve"> </w:t>
      </w:r>
      <w:r w:rsidR="001201F7">
        <w:rPr>
          <w:b/>
          <w:sz w:val="28"/>
          <w:szCs w:val="28"/>
        </w:rPr>
        <w:t>On</w:t>
      </w:r>
      <w:r w:rsidR="006D313B">
        <w:rPr>
          <w:b/>
          <w:sz w:val="28"/>
          <w:szCs w:val="28"/>
        </w:rPr>
        <w:t xml:space="preserve"> </w:t>
      </w:r>
      <w:r w:rsidR="001201F7">
        <w:rPr>
          <w:b/>
          <w:sz w:val="28"/>
          <w:szCs w:val="28"/>
        </w:rPr>
        <w:t>Board Diagnostic Standard</w:t>
      </w:r>
    </w:p>
    <w:p w:rsidR="00E31DB1" w:rsidRDefault="00E31DB1" w:rsidP="00C75F0C">
      <w:pPr>
        <w:spacing w:after="0" w:line="240" w:lineRule="auto"/>
        <w:ind w:left="547" w:right="540"/>
        <w:rPr>
          <w:sz w:val="24"/>
          <w:szCs w:val="24"/>
        </w:rPr>
      </w:pPr>
    </w:p>
    <w:p w:rsidR="00567142" w:rsidRPr="002B1738" w:rsidRDefault="00CA6C15" w:rsidP="001201F7">
      <w:pPr>
        <w:spacing w:after="0" w:line="240" w:lineRule="auto"/>
        <w:ind w:left="540" w:right="547"/>
        <w:jc w:val="both"/>
      </w:pPr>
      <w:r w:rsidRPr="00072003">
        <w:rPr>
          <w:b/>
          <w:u w:val="single"/>
        </w:rPr>
        <w:t>Arlington, VA</w:t>
      </w:r>
      <w:r w:rsidR="0088076D" w:rsidRPr="00072003">
        <w:rPr>
          <w:b/>
          <w:u w:val="single"/>
        </w:rPr>
        <w:t xml:space="preserve"> October </w:t>
      </w:r>
      <w:r w:rsidR="00A71FAE" w:rsidRPr="00072003">
        <w:rPr>
          <w:b/>
          <w:u w:val="single"/>
        </w:rPr>
        <w:t>27</w:t>
      </w:r>
      <w:r w:rsidR="0088076D" w:rsidRPr="00072003">
        <w:rPr>
          <w:b/>
          <w:u w:val="single"/>
        </w:rPr>
        <w:t>, 2017</w:t>
      </w:r>
      <w:r w:rsidR="0088076D" w:rsidRPr="001B2ED7">
        <w:t xml:space="preserve"> –</w:t>
      </w:r>
      <w:r w:rsidR="00567142" w:rsidRPr="00567142">
        <w:t xml:space="preserve"> </w:t>
      </w:r>
      <w:r w:rsidR="00567142" w:rsidRPr="002B1738">
        <w:t>The Air Conditioning Contractors of America Educational Institute (ACCA-EI) Standards Task Team (</w:t>
      </w:r>
      <w:smartTag w:uri="urn:schemas-microsoft-com:office:smarttags" w:element="stockticker">
        <w:r w:rsidR="00567142" w:rsidRPr="002B1738">
          <w:t>STT</w:t>
        </w:r>
      </w:smartTag>
      <w:r w:rsidR="00567142" w:rsidRPr="002B1738">
        <w:t xml:space="preserve">) announces the </w:t>
      </w:r>
      <w:r w:rsidR="001201F7">
        <w:t>first p</w:t>
      </w:r>
      <w:r w:rsidR="00567142">
        <w:t xml:space="preserve">ublic </w:t>
      </w:r>
      <w:r w:rsidR="001201F7">
        <w:t>r</w:t>
      </w:r>
      <w:r w:rsidR="00567142">
        <w:t xml:space="preserve">eview </w:t>
      </w:r>
      <w:r w:rsidR="00567142" w:rsidRPr="002B1738">
        <w:t xml:space="preserve">of </w:t>
      </w:r>
      <w:r w:rsidR="00567142">
        <w:t>BSR</w:t>
      </w:r>
      <w:r w:rsidR="00567142" w:rsidRPr="002B1738">
        <w:t>/ACCA 1</w:t>
      </w:r>
      <w:r w:rsidR="00567142">
        <w:t>5</w:t>
      </w:r>
      <w:r w:rsidR="00567142" w:rsidRPr="002B1738">
        <w:t xml:space="preserve"> </w:t>
      </w:r>
      <w:r w:rsidR="00567142">
        <w:t xml:space="preserve">OBD </w:t>
      </w:r>
      <w:r w:rsidR="00567142" w:rsidRPr="002B1738">
        <w:t>-</w:t>
      </w:r>
      <w:r w:rsidR="00567142">
        <w:t xml:space="preserve"> </w:t>
      </w:r>
      <w:r w:rsidR="00567142" w:rsidRPr="002B1738">
        <w:t>201</w:t>
      </w:r>
      <w:r w:rsidR="00567142">
        <w:t>x</w:t>
      </w:r>
      <w:r w:rsidR="00567142" w:rsidRPr="002B1738">
        <w:t xml:space="preserve"> </w:t>
      </w:r>
      <w:r w:rsidR="00567142">
        <w:t>(</w:t>
      </w:r>
      <w:r w:rsidR="00567142">
        <w:rPr>
          <w:i/>
        </w:rPr>
        <w:t>On Board Diagnostic C</w:t>
      </w:r>
      <w:r w:rsidR="00567142" w:rsidRPr="002B1738">
        <w:rPr>
          <w:i/>
        </w:rPr>
        <w:t>o</w:t>
      </w:r>
      <w:r w:rsidR="00567142">
        <w:rPr>
          <w:i/>
        </w:rPr>
        <w:t>des fo</w:t>
      </w:r>
      <w:r w:rsidR="00567142" w:rsidRPr="002B1738">
        <w:rPr>
          <w:i/>
        </w:rPr>
        <w:t xml:space="preserve">r </w:t>
      </w:r>
      <w:r w:rsidR="00567142">
        <w:rPr>
          <w:i/>
        </w:rPr>
        <w:t>HVACR Equipment)</w:t>
      </w:r>
      <w:r w:rsidR="00521644">
        <w:t>.</w:t>
      </w:r>
      <w:r w:rsidR="00567142" w:rsidRPr="002B1738">
        <w:t xml:space="preserve"> The 45-day public review period st</w:t>
      </w:r>
      <w:r w:rsidR="00567142" w:rsidRPr="000E4149">
        <w:t>arted on October</w:t>
      </w:r>
      <w:r w:rsidR="001201F7">
        <w:t xml:space="preserve"> 27,</w:t>
      </w:r>
      <w:r w:rsidR="00567142" w:rsidRPr="000E4149">
        <w:t xml:space="preserve"> 2017 and will close on December</w:t>
      </w:r>
      <w:r w:rsidR="001201F7">
        <w:t xml:space="preserve"> 11,</w:t>
      </w:r>
      <w:r w:rsidR="00567142" w:rsidRPr="000E4149">
        <w:t xml:space="preserve"> 2017.</w:t>
      </w:r>
    </w:p>
    <w:p w:rsidR="00050D85" w:rsidRDefault="00050D85" w:rsidP="001201F7">
      <w:pPr>
        <w:spacing w:after="0" w:line="240" w:lineRule="auto"/>
        <w:ind w:left="547" w:right="547"/>
      </w:pPr>
    </w:p>
    <w:p w:rsidR="00CA6C15" w:rsidRDefault="006D313B" w:rsidP="00C44679">
      <w:pPr>
        <w:spacing w:after="0" w:line="240" w:lineRule="auto"/>
        <w:ind w:left="547" w:right="547"/>
      </w:pPr>
      <w:r>
        <w:t>The On Board Diagnostic</w:t>
      </w:r>
      <w:bookmarkStart w:id="0" w:name="_GoBack"/>
      <w:bookmarkEnd w:id="0"/>
      <w:r>
        <w:t xml:space="preserve"> Standard details the </w:t>
      </w:r>
      <w:r w:rsidR="00521644">
        <w:t>nomenclature naming schema</w:t>
      </w:r>
      <w:r w:rsidR="009402B3">
        <w:t xml:space="preserve"> for defining fault and/or performance codes and terminology for</w:t>
      </w:r>
      <w:r>
        <w:t xml:space="preserve"> heating, ventilation, air-conditioning and refrigeration (HVACR) equipment. </w:t>
      </w:r>
      <w:r w:rsidR="009402B3">
        <w:t xml:space="preserve">The Standard does not detail </w:t>
      </w:r>
      <w:proofErr w:type="gramStart"/>
      <w:r w:rsidR="009402B3">
        <w:t>possible causes</w:t>
      </w:r>
      <w:proofErr w:type="gramEnd"/>
      <w:r w:rsidR="009402B3">
        <w:t xml:space="preserve"> or diagnostic information associated with faul</w:t>
      </w:r>
      <w:r w:rsidR="00262A49">
        <w:t xml:space="preserve">t codes or performance data, which are provided in equipment and component product documentation. </w:t>
      </w:r>
    </w:p>
    <w:p w:rsidR="00C44679" w:rsidRDefault="00C44679" w:rsidP="00C44679">
      <w:pPr>
        <w:spacing w:after="0" w:line="240" w:lineRule="auto"/>
        <w:ind w:left="547" w:right="547"/>
      </w:pPr>
    </w:p>
    <w:p w:rsidR="00262A49" w:rsidRDefault="00262A49" w:rsidP="00A70218">
      <w:pPr>
        <w:widowControl w:val="0"/>
        <w:spacing w:after="0" w:line="240" w:lineRule="auto"/>
        <w:ind w:left="547" w:right="547"/>
      </w:pPr>
      <w:r>
        <w:t xml:space="preserve">As defined and used in this proposed Standard, the </w:t>
      </w:r>
      <w:r w:rsidR="00521644">
        <w:t>nomenclature naming</w:t>
      </w:r>
      <w:r>
        <w:t xml:space="preserve"> standardizes codes based on </w:t>
      </w:r>
      <w:r w:rsidRPr="00A40F17">
        <w:rPr>
          <w:i/>
        </w:rPr>
        <w:t>Component</w:t>
      </w:r>
      <w:r w:rsidRPr="00663B40">
        <w:t xml:space="preserve"> (</w:t>
      </w:r>
      <w:r>
        <w:t xml:space="preserve">with a </w:t>
      </w:r>
      <w:r w:rsidRPr="00BB17D6">
        <w:rPr>
          <w:i/>
        </w:rPr>
        <w:t>Modifier</w:t>
      </w:r>
      <w:r w:rsidRPr="00BB17D6">
        <w:t>)</w:t>
      </w:r>
      <w:r>
        <w:t xml:space="preserve">, </w:t>
      </w:r>
      <w:r w:rsidRPr="0002120F">
        <w:rPr>
          <w:i/>
        </w:rPr>
        <w:t>Mode of Operation</w:t>
      </w:r>
      <w:r w:rsidRPr="000C3891">
        <w:t>,</w:t>
      </w:r>
      <w:r w:rsidRPr="00612A0D">
        <w:rPr>
          <w:i/>
        </w:rPr>
        <w:t xml:space="preserve"> Process</w:t>
      </w:r>
      <w:r>
        <w:rPr>
          <w:i/>
        </w:rPr>
        <w:t xml:space="preserve">, </w:t>
      </w:r>
      <w:r w:rsidRPr="003B78C4">
        <w:rPr>
          <w:i/>
        </w:rPr>
        <w:t>Attribute Type</w:t>
      </w:r>
      <w:r>
        <w:t xml:space="preserve">, and </w:t>
      </w:r>
      <w:r>
        <w:rPr>
          <w:i/>
        </w:rPr>
        <w:t>Performance Descriptor.</w:t>
      </w:r>
      <w:r>
        <w:t xml:space="preserve">  The schema ac</w:t>
      </w:r>
      <w:r w:rsidR="00A70218">
        <w:t>commodates operating faults and</w:t>
      </w:r>
      <w:r>
        <w:t xml:space="preserve">/or performance characteristics that are commonly identified by today’s equipment diagnostic capabilities, and that may need to be identified in the future as enhanced sensors and controls </w:t>
      </w:r>
      <w:r w:rsidR="00A70218">
        <w:t>are applied to HVACR offerings.</w:t>
      </w:r>
      <w:r>
        <w:t xml:space="preserve"> Additionally, this Standard </w:t>
      </w:r>
      <w:r w:rsidR="00316DC4">
        <w:t>provides for</w:t>
      </w:r>
      <w:r w:rsidRPr="008175DE">
        <w:t xml:space="preserve"> </w:t>
      </w:r>
      <w:r>
        <w:t xml:space="preserve">the incorporation of optional proprietary, </w:t>
      </w:r>
      <w:r w:rsidRPr="008175DE">
        <w:t>manufacturer</w:t>
      </w:r>
      <w:r>
        <w:t>-</w:t>
      </w:r>
      <w:r w:rsidRPr="008175DE">
        <w:t>specific</w:t>
      </w:r>
      <w:r>
        <w:t xml:space="preserve"> information</w:t>
      </w:r>
      <w:r w:rsidRPr="008175DE">
        <w:t xml:space="preserve"> that </w:t>
      </w:r>
      <w:r>
        <w:t>individual manufacturers may choose to make available to field practitioners.</w:t>
      </w:r>
    </w:p>
    <w:p w:rsidR="00262A49" w:rsidRDefault="00262A49" w:rsidP="00262A49">
      <w:pPr>
        <w:widowControl w:val="0"/>
        <w:spacing w:after="0" w:line="240" w:lineRule="auto"/>
        <w:ind w:left="547" w:right="547"/>
        <w:jc w:val="both"/>
      </w:pPr>
    </w:p>
    <w:p w:rsidR="00262A49" w:rsidRPr="002B1738" w:rsidRDefault="00262A49" w:rsidP="00262A49">
      <w:pPr>
        <w:spacing w:after="0" w:line="240" w:lineRule="auto"/>
        <w:ind w:left="547" w:right="547"/>
      </w:pPr>
      <w:r>
        <w:t xml:space="preserve">A copy of the proposed Standard can be downloaded for free </w:t>
      </w:r>
      <w:r w:rsidR="00A70218">
        <w:t>at</w:t>
      </w:r>
      <w:r>
        <w:t xml:space="preserve"> </w:t>
      </w:r>
      <w:hyperlink r:id="rId6" w:history="1">
        <w:r w:rsidRPr="00A011D6">
          <w:rPr>
            <w:rStyle w:val="Hyperlink"/>
          </w:rPr>
          <w:t>www.acca.org/ansi</w:t>
        </w:r>
      </w:hyperlink>
      <w:r>
        <w:t xml:space="preserve">.  </w:t>
      </w:r>
      <w:r w:rsidRPr="002B1738">
        <w:t xml:space="preserve">Comments on this </w:t>
      </w:r>
      <w:r>
        <w:t xml:space="preserve">public review must </w:t>
      </w:r>
      <w:r w:rsidRPr="002B1738">
        <w:t xml:space="preserve">be submitted </w:t>
      </w:r>
      <w:r w:rsidRPr="000E4149">
        <w:t>by December</w:t>
      </w:r>
      <w:r w:rsidRPr="002B1738">
        <w:t xml:space="preserve"> </w:t>
      </w:r>
      <w:r w:rsidR="004D1F5C">
        <w:t xml:space="preserve">11, </w:t>
      </w:r>
      <w:r w:rsidRPr="002B1738">
        <w:t xml:space="preserve">2017 </w:t>
      </w:r>
      <w:r>
        <w:t xml:space="preserve">(5:00 P.M. EDT) </w:t>
      </w:r>
      <w:r w:rsidRPr="002B1738">
        <w:t xml:space="preserve">using the ACCA </w:t>
      </w:r>
      <w:r>
        <w:t>Public R</w:t>
      </w:r>
      <w:r w:rsidRPr="002B1738">
        <w:t xml:space="preserve">esponse </w:t>
      </w:r>
      <w:r>
        <w:t>F</w:t>
      </w:r>
      <w:r w:rsidRPr="002B1738">
        <w:t>orm</w:t>
      </w:r>
      <w:r w:rsidR="0062538C">
        <w:t xml:space="preserve"> </w:t>
      </w:r>
      <w:r w:rsidRPr="002B1738">
        <w:t xml:space="preserve">available </w:t>
      </w:r>
      <w:r w:rsidR="0062538C">
        <w:t>at</w:t>
      </w:r>
      <w:r w:rsidRPr="002B1738">
        <w:t xml:space="preserve"> </w:t>
      </w:r>
      <w:hyperlink r:id="rId7" w:history="1">
        <w:r w:rsidRPr="002B1738">
          <w:rPr>
            <w:rStyle w:val="Hyperlink"/>
          </w:rPr>
          <w:t>www.acca.org/ansi/</w:t>
        </w:r>
      </w:hyperlink>
      <w:r w:rsidRPr="002B1738">
        <w:t xml:space="preserve">. </w:t>
      </w:r>
    </w:p>
    <w:p w:rsidR="009402B3" w:rsidRPr="001B2ED7" w:rsidRDefault="009402B3" w:rsidP="00C75F0C">
      <w:pPr>
        <w:spacing w:after="0" w:line="240" w:lineRule="auto"/>
        <w:ind w:left="547" w:right="540"/>
      </w:pPr>
    </w:p>
    <w:p w:rsidR="00431E8E" w:rsidRPr="001B2ED7" w:rsidRDefault="00431E8E" w:rsidP="00C75F0C">
      <w:pPr>
        <w:spacing w:after="0" w:line="240" w:lineRule="auto"/>
        <w:ind w:left="547" w:right="540"/>
      </w:pPr>
      <w:r w:rsidRPr="001B2ED7">
        <w:t xml:space="preserve">For more information, please contact ACCA’s Director of Industry and External Relations, Todd </w:t>
      </w:r>
      <w:proofErr w:type="spellStart"/>
      <w:r w:rsidRPr="001B2ED7">
        <w:t>Washam</w:t>
      </w:r>
      <w:proofErr w:type="spellEnd"/>
      <w:r w:rsidRPr="001B2ED7">
        <w:t xml:space="preserve">, at </w:t>
      </w:r>
      <w:hyperlink r:id="rId8" w:history="1">
        <w:r w:rsidRPr="001B2ED7">
          <w:rPr>
            <w:rStyle w:val="Hyperlink"/>
          </w:rPr>
          <w:t>todd.washam@acca.org</w:t>
        </w:r>
      </w:hyperlink>
      <w:r w:rsidRPr="001B2ED7">
        <w:t xml:space="preserve"> or 703-824-8864.</w:t>
      </w:r>
      <w:r w:rsidR="008F5E4E" w:rsidRPr="008F5E4E">
        <w:rPr>
          <w:noProof/>
        </w:rPr>
        <w:t xml:space="preserve"> </w:t>
      </w:r>
    </w:p>
    <w:p w:rsidR="00FD1129" w:rsidRDefault="00FD1129" w:rsidP="00C75F0C">
      <w:pPr>
        <w:spacing w:after="0" w:line="240" w:lineRule="auto"/>
        <w:ind w:left="547" w:right="540"/>
        <w:jc w:val="center"/>
      </w:pPr>
    </w:p>
    <w:p w:rsidR="00F70E65" w:rsidRDefault="00F70E65" w:rsidP="00C75F0C">
      <w:pPr>
        <w:spacing w:after="0" w:line="240" w:lineRule="auto"/>
        <w:ind w:left="547" w:right="540"/>
        <w:jc w:val="center"/>
      </w:pPr>
      <w:r>
        <w:t>###</w:t>
      </w:r>
    </w:p>
    <w:p w:rsidR="001B2ED7" w:rsidRDefault="001B2ED7" w:rsidP="00521644">
      <w:pPr>
        <w:spacing w:after="0" w:line="240" w:lineRule="auto"/>
        <w:ind w:right="540"/>
        <w:rPr>
          <w:rFonts w:ascii="Arial" w:hAnsi="Arial" w:cs="Arial"/>
          <w:b/>
          <w:bCs/>
        </w:rPr>
      </w:pPr>
    </w:p>
    <w:p w:rsidR="0024429C" w:rsidRDefault="0024429C" w:rsidP="00C75F0C">
      <w:pPr>
        <w:spacing w:after="0" w:line="240" w:lineRule="auto"/>
        <w:ind w:left="547" w:right="540"/>
        <w:rPr>
          <w:rFonts w:ascii="Arial" w:hAnsi="Arial" w:cs="Arial"/>
          <w:b/>
          <w:bCs/>
        </w:rPr>
      </w:pPr>
      <w:r>
        <w:rPr>
          <w:rFonts w:ascii="Arial" w:hAnsi="Arial" w:cs="Arial"/>
          <w:b/>
          <w:bCs/>
        </w:rPr>
        <w:t>About ACCA</w:t>
      </w:r>
    </w:p>
    <w:p w:rsidR="0024429C" w:rsidRDefault="0024429C" w:rsidP="00C75F0C">
      <w:pPr>
        <w:spacing w:after="0" w:line="240" w:lineRule="auto"/>
        <w:ind w:left="547" w:right="540"/>
        <w:rPr>
          <w:rStyle w:val="Emphasis"/>
          <w:rFonts w:ascii="Arial" w:hAnsi="Arial" w:cs="Arial"/>
          <w:sz w:val="17"/>
          <w:szCs w:val="17"/>
        </w:rPr>
      </w:pPr>
      <w:r>
        <w:rPr>
          <w:rStyle w:val="Emphasis"/>
          <w:rFonts w:ascii="Arial" w:hAnsi="Arial" w:cs="Arial"/>
          <w:sz w:val="17"/>
          <w:szCs w:val="17"/>
        </w:rPr>
        <w:t xml:space="preserve">The Air Conditioning Contractors of America, is the nation’s premier trade association for heating, ventilation, air conditioning, and refrigeration contractors. ACCA’s member companies provide quality service in heating, air conditioning, refrigeration, building and home performance, solar, hydronics, and plumbing. ACCA has created the nationally-recognized and industry-endorsed standards needed to ensure HVACR systems are properly installed and maintained. Learn more at </w:t>
      </w:r>
      <w:hyperlink r:id="rId9" w:history="1">
        <w:r w:rsidRPr="00F87BC7">
          <w:rPr>
            <w:rStyle w:val="Hyperlink"/>
            <w:rFonts w:ascii="Arial" w:hAnsi="Arial" w:cs="Arial"/>
            <w:sz w:val="17"/>
            <w:szCs w:val="17"/>
          </w:rPr>
          <w:t>www.acca.org</w:t>
        </w:r>
      </w:hyperlink>
      <w:r>
        <w:rPr>
          <w:rStyle w:val="Emphasis"/>
          <w:rFonts w:ascii="Arial" w:hAnsi="Arial" w:cs="Arial"/>
          <w:sz w:val="17"/>
          <w:szCs w:val="17"/>
        </w:rPr>
        <w:t>.</w:t>
      </w:r>
    </w:p>
    <w:p w:rsidR="0024429C" w:rsidRDefault="0024429C" w:rsidP="0024429C">
      <w:pPr>
        <w:spacing w:after="0" w:line="240" w:lineRule="auto"/>
        <w:ind w:left="547" w:right="547"/>
      </w:pPr>
    </w:p>
    <w:p w:rsidR="00F70E65" w:rsidRDefault="00F70E65">
      <w:pPr>
        <w:spacing w:after="0" w:line="240" w:lineRule="auto"/>
        <w:ind w:left="547" w:right="547"/>
        <w:jc w:val="center"/>
      </w:pPr>
    </w:p>
    <w:sectPr w:rsidR="00F70E65" w:rsidSect="0028684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A37" w:rsidRDefault="00045A37" w:rsidP="0024429C">
      <w:pPr>
        <w:spacing w:after="0" w:line="240" w:lineRule="auto"/>
      </w:pPr>
      <w:r>
        <w:separator/>
      </w:r>
    </w:p>
  </w:endnote>
  <w:endnote w:type="continuationSeparator" w:id="0">
    <w:p w:rsidR="00045A37" w:rsidRDefault="00045A37" w:rsidP="00244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AD" w:rsidRDefault="00A96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AD" w:rsidRDefault="00A96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AD" w:rsidRDefault="00A96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A37" w:rsidRDefault="00045A37" w:rsidP="0024429C">
      <w:pPr>
        <w:spacing w:after="0" w:line="240" w:lineRule="auto"/>
      </w:pPr>
      <w:r>
        <w:separator/>
      </w:r>
    </w:p>
  </w:footnote>
  <w:footnote w:type="continuationSeparator" w:id="0">
    <w:p w:rsidR="00045A37" w:rsidRDefault="00045A37" w:rsidP="00244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AD" w:rsidRDefault="00A96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29C" w:rsidRPr="0024429C" w:rsidRDefault="0024429C" w:rsidP="0024429C">
    <w:pPr>
      <w:pStyle w:val="Header"/>
      <w:jc w:val="center"/>
    </w:pPr>
    <w:r>
      <w:rPr>
        <w:noProof/>
      </w:rPr>
      <w:drawing>
        <wp:inline distT="0" distB="0" distL="0" distR="0" wp14:anchorId="0C2C13CC" wp14:editId="120033DB">
          <wp:extent cx="5238750" cy="1009650"/>
          <wp:effectExtent l="0" t="0" r="0" b="0"/>
          <wp:docPr id="2" name="Picture 2" descr="http://files.clickdimensions.com/accaorg-axi0v/files/accanews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clickdimensions.com/accaorg-axi0v/files/accanewsbann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AD" w:rsidRDefault="00A96E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9C"/>
    <w:rsid w:val="00045A37"/>
    <w:rsid w:val="00050D85"/>
    <w:rsid w:val="000563E0"/>
    <w:rsid w:val="0007115E"/>
    <w:rsid w:val="00072003"/>
    <w:rsid w:val="000A0702"/>
    <w:rsid w:val="000A27C6"/>
    <w:rsid w:val="00103C52"/>
    <w:rsid w:val="001201F7"/>
    <w:rsid w:val="001309BF"/>
    <w:rsid w:val="00136B9F"/>
    <w:rsid w:val="001544C3"/>
    <w:rsid w:val="00157DA2"/>
    <w:rsid w:val="001731FD"/>
    <w:rsid w:val="001969FC"/>
    <w:rsid w:val="00197D27"/>
    <w:rsid w:val="00197FC7"/>
    <w:rsid w:val="001B2ED7"/>
    <w:rsid w:val="00226506"/>
    <w:rsid w:val="002377C1"/>
    <w:rsid w:val="0024429C"/>
    <w:rsid w:val="00245054"/>
    <w:rsid w:val="00254532"/>
    <w:rsid w:val="00262A49"/>
    <w:rsid w:val="00264233"/>
    <w:rsid w:val="00286842"/>
    <w:rsid w:val="002E134A"/>
    <w:rsid w:val="002E7334"/>
    <w:rsid w:val="00316DC4"/>
    <w:rsid w:val="00361C49"/>
    <w:rsid w:val="003622CF"/>
    <w:rsid w:val="003B544D"/>
    <w:rsid w:val="003E2533"/>
    <w:rsid w:val="00431E8E"/>
    <w:rsid w:val="004D1F5C"/>
    <w:rsid w:val="00514FE7"/>
    <w:rsid w:val="00521644"/>
    <w:rsid w:val="00523517"/>
    <w:rsid w:val="00567142"/>
    <w:rsid w:val="00570AA3"/>
    <w:rsid w:val="00591CE1"/>
    <w:rsid w:val="005C013B"/>
    <w:rsid w:val="0061288C"/>
    <w:rsid w:val="0062538C"/>
    <w:rsid w:val="0066223F"/>
    <w:rsid w:val="006625FF"/>
    <w:rsid w:val="00671C7B"/>
    <w:rsid w:val="006913B0"/>
    <w:rsid w:val="006D313B"/>
    <w:rsid w:val="006E0086"/>
    <w:rsid w:val="006E2181"/>
    <w:rsid w:val="00705371"/>
    <w:rsid w:val="00767282"/>
    <w:rsid w:val="007815AC"/>
    <w:rsid w:val="007A115C"/>
    <w:rsid w:val="007A32B8"/>
    <w:rsid w:val="00847F02"/>
    <w:rsid w:val="00856864"/>
    <w:rsid w:val="00861F81"/>
    <w:rsid w:val="008738BB"/>
    <w:rsid w:val="0088076D"/>
    <w:rsid w:val="008823B6"/>
    <w:rsid w:val="008D1D30"/>
    <w:rsid w:val="008F00AE"/>
    <w:rsid w:val="008F5E4E"/>
    <w:rsid w:val="009402B3"/>
    <w:rsid w:val="009416C6"/>
    <w:rsid w:val="009460B4"/>
    <w:rsid w:val="00951E0B"/>
    <w:rsid w:val="009A1CA9"/>
    <w:rsid w:val="009A6A78"/>
    <w:rsid w:val="009C1EFD"/>
    <w:rsid w:val="009D292B"/>
    <w:rsid w:val="009E777C"/>
    <w:rsid w:val="009F24ED"/>
    <w:rsid w:val="00A12EB9"/>
    <w:rsid w:val="00A34E99"/>
    <w:rsid w:val="00A40270"/>
    <w:rsid w:val="00A70218"/>
    <w:rsid w:val="00A71FAE"/>
    <w:rsid w:val="00A729CA"/>
    <w:rsid w:val="00A8763E"/>
    <w:rsid w:val="00A96EAD"/>
    <w:rsid w:val="00AA5BBD"/>
    <w:rsid w:val="00AB5F8A"/>
    <w:rsid w:val="00AF1CA6"/>
    <w:rsid w:val="00B83E6C"/>
    <w:rsid w:val="00B93102"/>
    <w:rsid w:val="00B95395"/>
    <w:rsid w:val="00BC7A11"/>
    <w:rsid w:val="00BD0E7F"/>
    <w:rsid w:val="00C437AC"/>
    <w:rsid w:val="00C44679"/>
    <w:rsid w:val="00C634B9"/>
    <w:rsid w:val="00C650D2"/>
    <w:rsid w:val="00C734B0"/>
    <w:rsid w:val="00C75F0C"/>
    <w:rsid w:val="00CA6C15"/>
    <w:rsid w:val="00CB2938"/>
    <w:rsid w:val="00CE4C19"/>
    <w:rsid w:val="00CE5CC0"/>
    <w:rsid w:val="00D153E8"/>
    <w:rsid w:val="00D23912"/>
    <w:rsid w:val="00D317CB"/>
    <w:rsid w:val="00D31B92"/>
    <w:rsid w:val="00D36B68"/>
    <w:rsid w:val="00D52000"/>
    <w:rsid w:val="00D667F1"/>
    <w:rsid w:val="00D9722B"/>
    <w:rsid w:val="00DB1BFD"/>
    <w:rsid w:val="00DC20DC"/>
    <w:rsid w:val="00DC28DB"/>
    <w:rsid w:val="00DE52C6"/>
    <w:rsid w:val="00DF2F49"/>
    <w:rsid w:val="00E065D1"/>
    <w:rsid w:val="00E27D09"/>
    <w:rsid w:val="00E31DB1"/>
    <w:rsid w:val="00E85C77"/>
    <w:rsid w:val="00EE1766"/>
    <w:rsid w:val="00EF0462"/>
    <w:rsid w:val="00EF687A"/>
    <w:rsid w:val="00F70E65"/>
    <w:rsid w:val="00F92F24"/>
    <w:rsid w:val="00FB698B"/>
    <w:rsid w:val="00FC3DF7"/>
    <w:rsid w:val="00FD1129"/>
    <w:rsid w:val="00FE5102"/>
    <w:rsid w:val="00FF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7B3DF7F4"/>
  <w15:chartTrackingRefBased/>
  <w15:docId w15:val="{679B8D54-B8F7-4EA5-8E8F-3867BCCC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9C"/>
  </w:style>
  <w:style w:type="paragraph" w:styleId="Footer">
    <w:name w:val="footer"/>
    <w:basedOn w:val="Normal"/>
    <w:link w:val="FooterChar"/>
    <w:uiPriority w:val="99"/>
    <w:unhideWhenUsed/>
    <w:rsid w:val="00244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9C"/>
  </w:style>
  <w:style w:type="character" w:styleId="Hyperlink">
    <w:name w:val="Hyperlink"/>
    <w:basedOn w:val="DefaultParagraphFont"/>
    <w:uiPriority w:val="99"/>
    <w:unhideWhenUsed/>
    <w:rsid w:val="0024429C"/>
    <w:rPr>
      <w:color w:val="0563C1"/>
      <w:u w:val="single"/>
    </w:rPr>
  </w:style>
  <w:style w:type="character" w:styleId="Emphasis">
    <w:name w:val="Emphasis"/>
    <w:basedOn w:val="DefaultParagraphFont"/>
    <w:uiPriority w:val="20"/>
    <w:qFormat/>
    <w:rsid w:val="0024429C"/>
    <w:rPr>
      <w:i/>
      <w:iCs/>
    </w:rPr>
  </w:style>
  <w:style w:type="character" w:styleId="FollowedHyperlink">
    <w:name w:val="FollowedHyperlink"/>
    <w:basedOn w:val="DefaultParagraphFont"/>
    <w:uiPriority w:val="99"/>
    <w:semiHidden/>
    <w:unhideWhenUsed/>
    <w:rsid w:val="00A702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108800">
      <w:bodyDiv w:val="1"/>
      <w:marLeft w:val="0"/>
      <w:marRight w:val="0"/>
      <w:marTop w:val="0"/>
      <w:marBottom w:val="0"/>
      <w:divBdr>
        <w:top w:val="none" w:sz="0" w:space="0" w:color="auto"/>
        <w:left w:val="none" w:sz="0" w:space="0" w:color="auto"/>
        <w:bottom w:val="none" w:sz="0" w:space="0" w:color="auto"/>
        <w:right w:val="none" w:sz="0" w:space="0" w:color="auto"/>
      </w:divBdr>
    </w:div>
    <w:div w:id="18589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dd.washam@acca.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acca.org/ansi/"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cca.org/ansi"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cca.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Washam</dc:creator>
  <cp:keywords/>
  <dc:description/>
  <cp:lastModifiedBy>Todd Washam</cp:lastModifiedBy>
  <cp:revision>10</cp:revision>
  <cp:lastPrinted>2017-10-26T12:12:00Z</cp:lastPrinted>
  <dcterms:created xsi:type="dcterms:W3CDTF">2017-10-26T18:56:00Z</dcterms:created>
  <dcterms:modified xsi:type="dcterms:W3CDTF">2017-10-27T15:58:00Z</dcterms:modified>
</cp:coreProperties>
</file>