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6D332" w14:textId="77777777" w:rsidR="000F02BA" w:rsidRDefault="00577D89">
      <w:pPr>
        <w:pStyle w:val="BodyText"/>
        <w:ind w:left="100"/>
        <w:rPr>
          <w:rFonts w:ascii="Times New Roman"/>
          <w:sz w:val="20"/>
        </w:rPr>
      </w:pPr>
      <w:r>
        <w:rPr>
          <w:rFonts w:ascii="Times New Roman"/>
          <w:noProof/>
          <w:sz w:val="20"/>
        </w:rPr>
        <w:drawing>
          <wp:inline distT="0" distB="0" distL="0" distR="0" wp14:anchorId="392BDFC0" wp14:editId="63338A16">
            <wp:extent cx="2438245" cy="6096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438245" cy="609600"/>
                    </a:xfrm>
                    <a:prstGeom prst="rect">
                      <a:avLst/>
                    </a:prstGeom>
                  </pic:spPr>
                </pic:pic>
              </a:graphicData>
            </a:graphic>
          </wp:inline>
        </w:drawing>
      </w:r>
    </w:p>
    <w:p w14:paraId="2240E408" w14:textId="77777777" w:rsidR="000F02BA" w:rsidRDefault="000F02BA">
      <w:pPr>
        <w:pStyle w:val="BodyText"/>
        <w:spacing w:before="8"/>
        <w:rPr>
          <w:rFonts w:ascii="Times New Roman"/>
          <w:sz w:val="23"/>
        </w:rPr>
      </w:pPr>
    </w:p>
    <w:p w14:paraId="2E78C998" w14:textId="77777777" w:rsidR="000F02BA" w:rsidRDefault="00577D89">
      <w:pPr>
        <w:spacing w:before="95" w:line="276" w:lineRule="auto"/>
        <w:ind w:left="2405" w:right="2233" w:firstLine="13"/>
        <w:jc w:val="center"/>
        <w:rPr>
          <w:b/>
          <w:i/>
          <w:sz w:val="21"/>
        </w:rPr>
      </w:pPr>
      <w:r>
        <w:rPr>
          <w:b/>
          <w:i/>
          <w:color w:val="003E75"/>
          <w:sz w:val="21"/>
        </w:rPr>
        <w:t>INTERESTED</w:t>
      </w:r>
      <w:r>
        <w:rPr>
          <w:b/>
          <w:i/>
          <w:color w:val="003E75"/>
          <w:spacing w:val="-38"/>
          <w:sz w:val="21"/>
        </w:rPr>
        <w:t xml:space="preserve"> </w:t>
      </w:r>
      <w:r>
        <w:rPr>
          <w:b/>
          <w:i/>
          <w:color w:val="003E75"/>
          <w:sz w:val="21"/>
        </w:rPr>
        <w:t>IN</w:t>
      </w:r>
      <w:r>
        <w:rPr>
          <w:b/>
          <w:i/>
          <w:color w:val="003E75"/>
          <w:spacing w:val="-38"/>
          <w:sz w:val="21"/>
        </w:rPr>
        <w:t xml:space="preserve"> </w:t>
      </w:r>
      <w:r>
        <w:rPr>
          <w:b/>
          <w:i/>
          <w:color w:val="003E75"/>
          <w:sz w:val="21"/>
        </w:rPr>
        <w:t>BECOMING</w:t>
      </w:r>
      <w:r>
        <w:rPr>
          <w:b/>
          <w:i/>
          <w:color w:val="003E75"/>
          <w:spacing w:val="-37"/>
          <w:sz w:val="21"/>
        </w:rPr>
        <w:t xml:space="preserve"> </w:t>
      </w:r>
      <w:r>
        <w:rPr>
          <w:b/>
          <w:i/>
          <w:color w:val="003E75"/>
          <w:sz w:val="21"/>
        </w:rPr>
        <w:t>THE</w:t>
      </w:r>
      <w:r>
        <w:rPr>
          <w:b/>
          <w:i/>
          <w:color w:val="003E75"/>
          <w:spacing w:val="-38"/>
          <w:sz w:val="21"/>
        </w:rPr>
        <w:t xml:space="preserve"> </w:t>
      </w:r>
      <w:r>
        <w:rPr>
          <w:b/>
          <w:i/>
          <w:color w:val="003E75"/>
          <w:sz w:val="21"/>
        </w:rPr>
        <w:t>DIRECTOR</w:t>
      </w:r>
      <w:r>
        <w:rPr>
          <w:b/>
          <w:i/>
          <w:color w:val="003E75"/>
          <w:spacing w:val="-37"/>
          <w:sz w:val="21"/>
        </w:rPr>
        <w:t xml:space="preserve"> </w:t>
      </w:r>
      <w:r>
        <w:rPr>
          <w:b/>
          <w:i/>
          <w:color w:val="003E75"/>
          <w:sz w:val="21"/>
        </w:rPr>
        <w:t>OF</w:t>
      </w:r>
      <w:r>
        <w:rPr>
          <w:b/>
          <w:i/>
          <w:color w:val="003E75"/>
          <w:spacing w:val="-37"/>
          <w:sz w:val="21"/>
        </w:rPr>
        <w:t xml:space="preserve"> </w:t>
      </w:r>
      <w:r>
        <w:rPr>
          <w:b/>
          <w:i/>
          <w:color w:val="003E75"/>
          <w:sz w:val="21"/>
        </w:rPr>
        <w:t xml:space="preserve">THE </w:t>
      </w:r>
      <w:r>
        <w:rPr>
          <w:b/>
          <w:i/>
          <w:color w:val="003E75"/>
          <w:w w:val="90"/>
          <w:sz w:val="21"/>
        </w:rPr>
        <w:t>NINR DIVISION OF EXTRAMURAL SCIENCE</w:t>
      </w:r>
      <w:r>
        <w:rPr>
          <w:b/>
          <w:i/>
          <w:color w:val="003E75"/>
          <w:spacing w:val="-29"/>
          <w:w w:val="90"/>
          <w:sz w:val="21"/>
        </w:rPr>
        <w:t xml:space="preserve"> </w:t>
      </w:r>
      <w:r>
        <w:rPr>
          <w:b/>
          <w:i/>
          <w:color w:val="003E75"/>
          <w:w w:val="90"/>
          <w:sz w:val="21"/>
        </w:rPr>
        <w:t>PROGRAMS?</w:t>
      </w:r>
    </w:p>
    <w:p w14:paraId="6ADA9905" w14:textId="77777777" w:rsidR="000F02BA" w:rsidRDefault="000F02BA">
      <w:pPr>
        <w:pStyle w:val="BodyText"/>
        <w:rPr>
          <w:b/>
          <w:i/>
          <w:sz w:val="24"/>
        </w:rPr>
      </w:pPr>
    </w:p>
    <w:p w14:paraId="646F08AD" w14:textId="371451DF" w:rsidR="000F02BA" w:rsidRDefault="00577D89" w:rsidP="00770E92">
      <w:pPr>
        <w:pStyle w:val="Heading1"/>
        <w:spacing w:before="203"/>
        <w:ind w:left="382"/>
        <w:rPr>
          <w:color w:val="33342E"/>
          <w:w w:val="105"/>
        </w:rPr>
      </w:pPr>
      <w:r>
        <w:rPr>
          <w:color w:val="33342E"/>
          <w:w w:val="105"/>
        </w:rPr>
        <w:t xml:space="preserve">Are you an exceptional candidate who can provide leadership to one of the preeminent institutes for nursing research </w:t>
      </w:r>
      <w:r>
        <w:rPr>
          <w:b w:val="0"/>
          <w:color w:val="33342E"/>
          <w:w w:val="105"/>
          <w:sz w:val="19"/>
        </w:rPr>
        <w:t>in the</w:t>
      </w:r>
      <w:r w:rsidR="00770E92">
        <w:rPr>
          <w:b w:val="0"/>
          <w:color w:val="33342E"/>
          <w:w w:val="105"/>
          <w:sz w:val="19"/>
        </w:rPr>
        <w:t xml:space="preserve"> </w:t>
      </w:r>
      <w:r>
        <w:rPr>
          <w:color w:val="33342E"/>
          <w:w w:val="105"/>
        </w:rPr>
        <w:t>world?</w:t>
      </w:r>
    </w:p>
    <w:p w14:paraId="303E0846" w14:textId="77777777" w:rsidR="00770E92" w:rsidRDefault="00770E92">
      <w:pPr>
        <w:pStyle w:val="BodyText"/>
        <w:spacing w:before="35" w:line="283" w:lineRule="auto"/>
        <w:ind w:left="331" w:right="206" w:hanging="8"/>
        <w:rPr>
          <w:color w:val="33342E"/>
          <w:w w:val="105"/>
        </w:rPr>
      </w:pPr>
    </w:p>
    <w:p w14:paraId="12ACAE9D" w14:textId="06E8E8F7" w:rsidR="000F02BA" w:rsidRDefault="00577D89">
      <w:pPr>
        <w:pStyle w:val="BodyText"/>
        <w:spacing w:before="35" w:line="283" w:lineRule="auto"/>
        <w:ind w:left="331" w:right="206" w:hanging="8"/>
      </w:pPr>
      <w:r>
        <w:rPr>
          <w:color w:val="33342E"/>
          <w:w w:val="105"/>
        </w:rPr>
        <w:t xml:space="preserve">The National Institute of Nursing Research (NINR), a research component of the National Institutes of Health (NIH), the Department of Health and Human Services (DHHS), is seeking exceptional candidates for the position of </w:t>
      </w:r>
      <w:bookmarkStart w:id="0" w:name="_GoBack"/>
      <w:r>
        <w:rPr>
          <w:color w:val="33342E"/>
          <w:w w:val="105"/>
        </w:rPr>
        <w:t xml:space="preserve">Director, Division of Extramural Science Programs </w:t>
      </w:r>
      <w:bookmarkEnd w:id="0"/>
      <w:r>
        <w:rPr>
          <w:color w:val="33342E"/>
          <w:w w:val="105"/>
        </w:rPr>
        <w:t xml:space="preserve">(DESP). The NINR </w:t>
      </w:r>
      <w:r>
        <w:rPr>
          <w:color w:val="33342E"/>
          <w:w w:val="105"/>
          <w:u w:val="thick" w:color="33342E"/>
        </w:rPr>
        <w:t>(www.ninr.nih.gov)</w:t>
      </w:r>
      <w:r>
        <w:rPr>
          <w:color w:val="33342E"/>
          <w:w w:val="105"/>
        </w:rPr>
        <w:t xml:space="preserve"> supports and conducts clinical and basic research and research training to build the scientific foundation for clinical practice, promote health, prevent disease and disability, manage and eliminate symptoms, and improve palliative and end-of-life care.</w:t>
      </w:r>
    </w:p>
    <w:p w14:paraId="05B387BE" w14:textId="77777777" w:rsidR="000F02BA" w:rsidRDefault="000F02BA">
      <w:pPr>
        <w:pStyle w:val="BodyText"/>
        <w:spacing w:before="4"/>
        <w:rPr>
          <w:sz w:val="25"/>
        </w:rPr>
      </w:pPr>
    </w:p>
    <w:p w14:paraId="536B3B2B" w14:textId="6601B5B4" w:rsidR="000F02BA" w:rsidRDefault="00577D89">
      <w:pPr>
        <w:pStyle w:val="BodyText"/>
        <w:spacing w:line="288" w:lineRule="auto"/>
        <w:ind w:left="331" w:right="103" w:hanging="8"/>
        <w:jc w:val="both"/>
      </w:pPr>
      <w:r>
        <w:rPr>
          <w:color w:val="33342E"/>
          <w:w w:val="105"/>
        </w:rPr>
        <w:t>The Division of Extramural Science Programs develops proposals for new research initiatives and manages the funding programs</w:t>
      </w:r>
      <w:r>
        <w:rPr>
          <w:color w:val="33342E"/>
          <w:spacing w:val="-9"/>
          <w:w w:val="105"/>
        </w:rPr>
        <w:t xml:space="preserve"> </w:t>
      </w:r>
      <w:r>
        <w:rPr>
          <w:color w:val="33342E"/>
          <w:w w:val="105"/>
        </w:rPr>
        <w:t>that</w:t>
      </w:r>
      <w:r>
        <w:rPr>
          <w:color w:val="33342E"/>
          <w:spacing w:val="-7"/>
          <w:w w:val="105"/>
        </w:rPr>
        <w:t xml:space="preserve"> </w:t>
      </w:r>
      <w:r>
        <w:rPr>
          <w:color w:val="33342E"/>
          <w:w w:val="105"/>
        </w:rPr>
        <w:t>support</w:t>
      </w:r>
      <w:r>
        <w:rPr>
          <w:color w:val="33342E"/>
          <w:spacing w:val="-7"/>
          <w:w w:val="105"/>
        </w:rPr>
        <w:t xml:space="preserve"> </w:t>
      </w:r>
      <w:r>
        <w:rPr>
          <w:color w:val="33342E"/>
          <w:w w:val="105"/>
        </w:rPr>
        <w:t>nursing</w:t>
      </w:r>
      <w:r>
        <w:rPr>
          <w:color w:val="33342E"/>
          <w:spacing w:val="-9"/>
          <w:w w:val="105"/>
        </w:rPr>
        <w:t xml:space="preserve"> </w:t>
      </w:r>
      <w:r>
        <w:rPr>
          <w:color w:val="33342E"/>
          <w:w w:val="105"/>
        </w:rPr>
        <w:t>research</w:t>
      </w:r>
      <w:r>
        <w:rPr>
          <w:color w:val="33342E"/>
          <w:spacing w:val="-7"/>
          <w:w w:val="105"/>
        </w:rPr>
        <w:t xml:space="preserve"> </w:t>
      </w:r>
      <w:r>
        <w:rPr>
          <w:color w:val="33342E"/>
          <w:w w:val="105"/>
        </w:rPr>
        <w:t>to</w:t>
      </w:r>
      <w:r>
        <w:rPr>
          <w:color w:val="33342E"/>
          <w:spacing w:val="3"/>
          <w:w w:val="105"/>
        </w:rPr>
        <w:t xml:space="preserve"> </w:t>
      </w:r>
      <w:r>
        <w:rPr>
          <w:color w:val="33342E"/>
          <w:w w:val="105"/>
        </w:rPr>
        <w:t>attain</w:t>
      </w:r>
      <w:r>
        <w:rPr>
          <w:color w:val="33342E"/>
          <w:spacing w:val="-10"/>
          <w:w w:val="105"/>
        </w:rPr>
        <w:t xml:space="preserve"> </w:t>
      </w:r>
      <w:r>
        <w:rPr>
          <w:color w:val="33342E"/>
          <w:w w:val="105"/>
        </w:rPr>
        <w:t>program</w:t>
      </w:r>
      <w:r>
        <w:rPr>
          <w:color w:val="33342E"/>
          <w:spacing w:val="-7"/>
          <w:w w:val="105"/>
        </w:rPr>
        <w:t xml:space="preserve"> </w:t>
      </w:r>
      <w:r>
        <w:rPr>
          <w:color w:val="33342E"/>
          <w:w w:val="105"/>
        </w:rPr>
        <w:t>objectives.</w:t>
      </w:r>
      <w:r>
        <w:rPr>
          <w:color w:val="33342E"/>
          <w:spacing w:val="-8"/>
          <w:w w:val="105"/>
        </w:rPr>
        <w:t xml:space="preserve"> </w:t>
      </w:r>
      <w:r>
        <w:rPr>
          <w:color w:val="33342E"/>
          <w:w w:val="105"/>
        </w:rPr>
        <w:t>The</w:t>
      </w:r>
      <w:r>
        <w:rPr>
          <w:color w:val="33342E"/>
          <w:spacing w:val="-12"/>
          <w:w w:val="105"/>
        </w:rPr>
        <w:t xml:space="preserve"> </w:t>
      </w:r>
      <w:r>
        <w:rPr>
          <w:color w:val="33342E"/>
          <w:w w:val="105"/>
        </w:rPr>
        <w:t>DESP</w:t>
      </w:r>
      <w:r>
        <w:rPr>
          <w:color w:val="33342E"/>
          <w:spacing w:val="-10"/>
          <w:w w:val="105"/>
        </w:rPr>
        <w:t xml:space="preserve"> </w:t>
      </w:r>
      <w:r>
        <w:rPr>
          <w:color w:val="33342E"/>
          <w:w w:val="105"/>
        </w:rPr>
        <w:t>Director</w:t>
      </w:r>
      <w:r>
        <w:rPr>
          <w:color w:val="33342E"/>
          <w:spacing w:val="-8"/>
          <w:w w:val="105"/>
        </w:rPr>
        <w:t xml:space="preserve"> </w:t>
      </w:r>
      <w:r>
        <w:rPr>
          <w:color w:val="33342E"/>
          <w:w w:val="105"/>
        </w:rPr>
        <w:t>works</w:t>
      </w:r>
      <w:r>
        <w:rPr>
          <w:color w:val="33342E"/>
          <w:spacing w:val="-8"/>
          <w:w w:val="105"/>
        </w:rPr>
        <w:t xml:space="preserve"> </w:t>
      </w:r>
      <w:r>
        <w:rPr>
          <w:color w:val="33342E"/>
          <w:w w:val="105"/>
        </w:rPr>
        <w:t>closely</w:t>
      </w:r>
      <w:r>
        <w:rPr>
          <w:color w:val="33342E"/>
          <w:spacing w:val="-8"/>
          <w:w w:val="105"/>
        </w:rPr>
        <w:t xml:space="preserve"> </w:t>
      </w:r>
      <w:r>
        <w:rPr>
          <w:color w:val="33342E"/>
          <w:w w:val="105"/>
        </w:rPr>
        <w:t>with</w:t>
      </w:r>
      <w:r>
        <w:rPr>
          <w:color w:val="33342E"/>
          <w:spacing w:val="-11"/>
          <w:w w:val="105"/>
        </w:rPr>
        <w:t xml:space="preserve"> </w:t>
      </w:r>
      <w:r>
        <w:rPr>
          <w:color w:val="33342E"/>
          <w:w w:val="105"/>
        </w:rPr>
        <w:t>the</w:t>
      </w:r>
      <w:r>
        <w:rPr>
          <w:color w:val="33342E"/>
          <w:spacing w:val="-12"/>
          <w:w w:val="105"/>
        </w:rPr>
        <w:t xml:space="preserve"> </w:t>
      </w:r>
      <w:r>
        <w:rPr>
          <w:color w:val="33342E"/>
          <w:w w:val="105"/>
        </w:rPr>
        <w:t>NINR</w:t>
      </w:r>
      <w:r>
        <w:rPr>
          <w:color w:val="33342E"/>
          <w:spacing w:val="-6"/>
          <w:w w:val="105"/>
        </w:rPr>
        <w:t xml:space="preserve"> </w:t>
      </w:r>
      <w:r>
        <w:rPr>
          <w:color w:val="33342E"/>
          <w:w w:val="105"/>
        </w:rPr>
        <w:t>Director</w:t>
      </w:r>
      <w:r>
        <w:rPr>
          <w:color w:val="33342E"/>
          <w:spacing w:val="-9"/>
          <w:w w:val="105"/>
        </w:rPr>
        <w:t xml:space="preserve"> </w:t>
      </w:r>
      <w:r>
        <w:rPr>
          <w:color w:val="33342E"/>
          <w:w w:val="105"/>
        </w:rPr>
        <w:t>in shaping the vision and direction of the Institute through strategic planning, priority setting, and coordinating resources to implement these plans and prioritie</w:t>
      </w:r>
      <w:r>
        <w:rPr>
          <w:color w:val="33342E"/>
          <w:spacing w:val="3"/>
          <w:w w:val="105"/>
        </w:rPr>
        <w:t>s</w:t>
      </w:r>
      <w:r>
        <w:rPr>
          <w:color w:val="505B63"/>
          <w:spacing w:val="3"/>
          <w:w w:val="105"/>
        </w:rPr>
        <w:t xml:space="preserve">. </w:t>
      </w:r>
      <w:r>
        <w:rPr>
          <w:color w:val="33342E"/>
          <w:w w:val="105"/>
        </w:rPr>
        <w:t>This position offers a unique leadership opportunity for an exceptional nurse scientist to have</w:t>
      </w:r>
      <w:r>
        <w:rPr>
          <w:color w:val="33342E"/>
          <w:spacing w:val="-8"/>
          <w:w w:val="105"/>
        </w:rPr>
        <w:t xml:space="preserve"> </w:t>
      </w:r>
      <w:r>
        <w:rPr>
          <w:color w:val="33342E"/>
          <w:w w:val="105"/>
        </w:rPr>
        <w:t>a</w:t>
      </w:r>
      <w:r>
        <w:rPr>
          <w:color w:val="33342E"/>
          <w:spacing w:val="-9"/>
          <w:w w:val="105"/>
        </w:rPr>
        <w:t xml:space="preserve"> </w:t>
      </w:r>
      <w:r>
        <w:rPr>
          <w:color w:val="33342E"/>
          <w:w w:val="105"/>
        </w:rPr>
        <w:t>National</w:t>
      </w:r>
      <w:r>
        <w:rPr>
          <w:color w:val="33342E"/>
          <w:spacing w:val="-8"/>
          <w:w w:val="105"/>
        </w:rPr>
        <w:t xml:space="preserve"> </w:t>
      </w:r>
      <w:r>
        <w:rPr>
          <w:color w:val="33342E"/>
          <w:w w:val="105"/>
        </w:rPr>
        <w:t>impact,</w:t>
      </w:r>
      <w:r>
        <w:rPr>
          <w:color w:val="33342E"/>
          <w:spacing w:val="-8"/>
          <w:w w:val="105"/>
        </w:rPr>
        <w:t xml:space="preserve"> </w:t>
      </w:r>
      <w:r>
        <w:rPr>
          <w:color w:val="33342E"/>
          <w:w w:val="105"/>
        </w:rPr>
        <w:t>serving</w:t>
      </w:r>
      <w:r>
        <w:rPr>
          <w:color w:val="33342E"/>
          <w:spacing w:val="-9"/>
          <w:w w:val="105"/>
        </w:rPr>
        <w:t xml:space="preserve"> </w:t>
      </w:r>
      <w:r>
        <w:rPr>
          <w:color w:val="33342E"/>
          <w:w w:val="105"/>
        </w:rPr>
        <w:t>as</w:t>
      </w:r>
      <w:r>
        <w:rPr>
          <w:color w:val="33342E"/>
          <w:spacing w:val="-9"/>
          <w:w w:val="105"/>
        </w:rPr>
        <w:t xml:space="preserve"> </w:t>
      </w:r>
      <w:r>
        <w:rPr>
          <w:color w:val="33342E"/>
          <w:w w:val="105"/>
        </w:rPr>
        <w:t>the</w:t>
      </w:r>
      <w:r>
        <w:rPr>
          <w:color w:val="33342E"/>
          <w:spacing w:val="9"/>
          <w:w w:val="105"/>
        </w:rPr>
        <w:t xml:space="preserve"> </w:t>
      </w:r>
      <w:r>
        <w:rPr>
          <w:color w:val="33342E"/>
          <w:w w:val="105"/>
        </w:rPr>
        <w:t>NINR's</w:t>
      </w:r>
      <w:r>
        <w:rPr>
          <w:color w:val="33342E"/>
          <w:spacing w:val="-7"/>
          <w:w w:val="105"/>
        </w:rPr>
        <w:t xml:space="preserve"> </w:t>
      </w:r>
      <w:r>
        <w:rPr>
          <w:color w:val="33342E"/>
          <w:w w:val="105"/>
        </w:rPr>
        <w:t>authoritative</w:t>
      </w:r>
      <w:r>
        <w:rPr>
          <w:color w:val="33342E"/>
          <w:spacing w:val="-2"/>
          <w:w w:val="105"/>
        </w:rPr>
        <w:t xml:space="preserve"> </w:t>
      </w:r>
      <w:r>
        <w:rPr>
          <w:color w:val="33342E"/>
          <w:w w:val="105"/>
        </w:rPr>
        <w:t>source</w:t>
      </w:r>
      <w:r>
        <w:rPr>
          <w:color w:val="33342E"/>
          <w:spacing w:val="-4"/>
          <w:w w:val="105"/>
        </w:rPr>
        <w:t xml:space="preserve"> </w:t>
      </w:r>
      <w:r>
        <w:rPr>
          <w:color w:val="33342E"/>
          <w:w w:val="105"/>
        </w:rPr>
        <w:t>on</w:t>
      </w:r>
      <w:r>
        <w:rPr>
          <w:color w:val="33342E"/>
          <w:spacing w:val="-11"/>
          <w:w w:val="105"/>
        </w:rPr>
        <w:t xml:space="preserve"> </w:t>
      </w:r>
      <w:r>
        <w:rPr>
          <w:color w:val="33342E"/>
          <w:w w:val="105"/>
        </w:rPr>
        <w:t>extramural</w:t>
      </w:r>
      <w:r>
        <w:rPr>
          <w:color w:val="33342E"/>
          <w:spacing w:val="-1"/>
          <w:w w:val="105"/>
        </w:rPr>
        <w:t xml:space="preserve"> </w:t>
      </w:r>
      <w:r>
        <w:rPr>
          <w:color w:val="33342E"/>
          <w:w w:val="105"/>
        </w:rPr>
        <w:t>scientific</w:t>
      </w:r>
      <w:r>
        <w:rPr>
          <w:color w:val="33342E"/>
          <w:spacing w:val="-3"/>
          <w:w w:val="105"/>
        </w:rPr>
        <w:t xml:space="preserve"> </w:t>
      </w:r>
      <w:r>
        <w:rPr>
          <w:color w:val="33342E"/>
          <w:w w:val="105"/>
        </w:rPr>
        <w:t>programs,</w:t>
      </w:r>
      <w:r>
        <w:rPr>
          <w:color w:val="33342E"/>
          <w:spacing w:val="-4"/>
          <w:w w:val="105"/>
        </w:rPr>
        <w:t xml:space="preserve"> </w:t>
      </w:r>
      <w:r>
        <w:rPr>
          <w:color w:val="33342E"/>
          <w:w w:val="105"/>
        </w:rPr>
        <w:t>research</w:t>
      </w:r>
      <w:r>
        <w:rPr>
          <w:color w:val="33342E"/>
          <w:spacing w:val="-7"/>
          <w:w w:val="105"/>
        </w:rPr>
        <w:t xml:space="preserve"> </w:t>
      </w:r>
      <w:r>
        <w:rPr>
          <w:color w:val="33342E"/>
          <w:w w:val="105"/>
        </w:rPr>
        <w:t>activities,</w:t>
      </w:r>
      <w:r>
        <w:rPr>
          <w:color w:val="33342E"/>
          <w:spacing w:val="-7"/>
          <w:w w:val="105"/>
        </w:rPr>
        <w:t xml:space="preserve"> </w:t>
      </w:r>
      <w:r>
        <w:rPr>
          <w:color w:val="33342E"/>
          <w:w w:val="105"/>
        </w:rPr>
        <w:t>grants management, and scientific review</w:t>
      </w:r>
      <w:r w:rsidR="00770E92">
        <w:rPr>
          <w:color w:val="33342E"/>
          <w:w w:val="105"/>
        </w:rPr>
        <w:t>, and committee management.</w:t>
      </w:r>
    </w:p>
    <w:p w14:paraId="53C9D4D6" w14:textId="77777777" w:rsidR="000F02BA" w:rsidRDefault="000F02BA">
      <w:pPr>
        <w:pStyle w:val="BodyText"/>
        <w:spacing w:before="1"/>
        <w:rPr>
          <w:sz w:val="19"/>
        </w:rPr>
      </w:pPr>
    </w:p>
    <w:p w14:paraId="00F6E505" w14:textId="6DBAE973" w:rsidR="000F02BA" w:rsidRPr="00770E92" w:rsidRDefault="00577D89">
      <w:pPr>
        <w:pStyle w:val="BodyText"/>
        <w:spacing w:line="285" w:lineRule="auto"/>
        <w:ind w:left="331" w:right="108" w:hanging="3"/>
        <w:jc w:val="both"/>
      </w:pPr>
      <w:r>
        <w:rPr>
          <w:color w:val="33342E"/>
          <w:w w:val="105"/>
        </w:rPr>
        <w:t>The DESP Director provides executive and managerial leadership in setting scientific priorities, making program decisions, developing and implementing policy, and determining the allocation of significant NINR resources. The successful candidate leads, directs, and manages multiple programs involving the: promotion and review of research applications; management of extramural research funding; management of the business and non-programmatic areas of grants administration; coordination and oversight of business-related activities associated with the negotiation, award, and administration of grants and cooperative agreements within NINR; and planning and execution of initial scientific and technical reviews conducted within the</w:t>
      </w:r>
      <w:r>
        <w:rPr>
          <w:color w:val="33342E"/>
          <w:spacing w:val="-10"/>
          <w:w w:val="105"/>
        </w:rPr>
        <w:t xml:space="preserve"> </w:t>
      </w:r>
      <w:r>
        <w:rPr>
          <w:color w:val="33342E"/>
          <w:w w:val="105"/>
        </w:rPr>
        <w:t>NINR.</w:t>
      </w:r>
      <w:r w:rsidR="00270B1A">
        <w:rPr>
          <w:color w:val="33342E"/>
          <w:w w:val="105"/>
        </w:rPr>
        <w:t xml:space="preserve"> </w:t>
      </w:r>
      <w:r w:rsidR="00270B1A" w:rsidRPr="00770E92">
        <w:rPr>
          <w:w w:val="105"/>
        </w:rPr>
        <w:t>The DESP Director also serves as the Executive Secretary for the National Advisory Council for Nursing Research (NACNR) and has coordination and oversight responsibilities for all Council related activities.</w:t>
      </w:r>
    </w:p>
    <w:p w14:paraId="1ABCAB0A" w14:textId="77777777" w:rsidR="000F02BA" w:rsidRPr="00770E92" w:rsidRDefault="000F02BA">
      <w:pPr>
        <w:pStyle w:val="BodyText"/>
        <w:spacing w:before="8"/>
        <w:rPr>
          <w:sz w:val="25"/>
        </w:rPr>
      </w:pPr>
    </w:p>
    <w:p w14:paraId="52FA5747" w14:textId="4921A8B1" w:rsidR="000F02BA" w:rsidRDefault="00577D89">
      <w:pPr>
        <w:pStyle w:val="BodyText"/>
        <w:spacing w:before="1" w:line="288" w:lineRule="auto"/>
        <w:ind w:left="336" w:right="103" w:hanging="8"/>
        <w:jc w:val="both"/>
      </w:pPr>
      <w:r>
        <w:rPr>
          <w:color w:val="33342E"/>
          <w:w w:val="105"/>
        </w:rPr>
        <w:t>The selected candidate will have the authority to independently address and respond to issues that affect the development, implementation, management, and review of NINR's extramural scientific programs and activities, while successfully directing the</w:t>
      </w:r>
      <w:r>
        <w:rPr>
          <w:color w:val="33342E"/>
          <w:spacing w:val="-5"/>
          <w:w w:val="105"/>
        </w:rPr>
        <w:t xml:space="preserve"> </w:t>
      </w:r>
      <w:r>
        <w:rPr>
          <w:color w:val="33342E"/>
          <w:w w:val="105"/>
        </w:rPr>
        <w:t>DESP.</w:t>
      </w:r>
      <w:r>
        <w:rPr>
          <w:color w:val="33342E"/>
          <w:spacing w:val="-8"/>
          <w:w w:val="105"/>
        </w:rPr>
        <w:t xml:space="preserve"> </w:t>
      </w:r>
      <w:r>
        <w:rPr>
          <w:color w:val="33342E"/>
          <w:w w:val="105"/>
        </w:rPr>
        <w:t>The</w:t>
      </w:r>
      <w:r>
        <w:rPr>
          <w:color w:val="33342E"/>
          <w:spacing w:val="-5"/>
          <w:w w:val="105"/>
        </w:rPr>
        <w:t xml:space="preserve"> </w:t>
      </w:r>
      <w:r>
        <w:rPr>
          <w:color w:val="33342E"/>
          <w:w w:val="105"/>
        </w:rPr>
        <w:t>DESP</w:t>
      </w:r>
      <w:r>
        <w:rPr>
          <w:color w:val="33342E"/>
          <w:spacing w:val="-5"/>
          <w:w w:val="105"/>
        </w:rPr>
        <w:t xml:space="preserve"> </w:t>
      </w:r>
      <w:r>
        <w:rPr>
          <w:color w:val="33342E"/>
          <w:w w:val="105"/>
        </w:rPr>
        <w:t>Director</w:t>
      </w:r>
      <w:r>
        <w:rPr>
          <w:color w:val="33342E"/>
          <w:spacing w:val="-2"/>
          <w:w w:val="105"/>
        </w:rPr>
        <w:t xml:space="preserve"> </w:t>
      </w:r>
      <w:r>
        <w:rPr>
          <w:color w:val="33342E"/>
          <w:w w:val="105"/>
        </w:rPr>
        <w:t>will</w:t>
      </w:r>
      <w:r>
        <w:rPr>
          <w:color w:val="33342E"/>
          <w:spacing w:val="-7"/>
          <w:w w:val="105"/>
        </w:rPr>
        <w:t xml:space="preserve"> </w:t>
      </w:r>
      <w:r>
        <w:rPr>
          <w:color w:val="33342E"/>
          <w:w w:val="105"/>
        </w:rPr>
        <w:t>have</w:t>
      </w:r>
      <w:r>
        <w:rPr>
          <w:color w:val="33342E"/>
          <w:spacing w:val="-6"/>
          <w:w w:val="105"/>
        </w:rPr>
        <w:t xml:space="preserve"> </w:t>
      </w:r>
      <w:r>
        <w:rPr>
          <w:color w:val="33342E"/>
          <w:w w:val="105"/>
        </w:rPr>
        <w:t>the</w:t>
      </w:r>
      <w:r>
        <w:rPr>
          <w:color w:val="33342E"/>
          <w:spacing w:val="4"/>
          <w:w w:val="105"/>
        </w:rPr>
        <w:t xml:space="preserve"> </w:t>
      </w:r>
      <w:r>
        <w:rPr>
          <w:color w:val="33342E"/>
          <w:w w:val="105"/>
        </w:rPr>
        <w:t>opportunity</w:t>
      </w:r>
      <w:r>
        <w:rPr>
          <w:color w:val="33342E"/>
          <w:spacing w:val="-4"/>
          <w:w w:val="105"/>
        </w:rPr>
        <w:t xml:space="preserve"> </w:t>
      </w:r>
      <w:r>
        <w:rPr>
          <w:color w:val="33342E"/>
          <w:w w:val="105"/>
        </w:rPr>
        <w:t>to</w:t>
      </w:r>
      <w:r>
        <w:rPr>
          <w:color w:val="33342E"/>
          <w:spacing w:val="1"/>
          <w:w w:val="105"/>
        </w:rPr>
        <w:t xml:space="preserve"> </w:t>
      </w:r>
      <w:r>
        <w:rPr>
          <w:color w:val="33342E"/>
          <w:w w:val="105"/>
        </w:rPr>
        <w:t>work</w:t>
      </w:r>
      <w:r>
        <w:rPr>
          <w:color w:val="33342E"/>
          <w:spacing w:val="-6"/>
          <w:w w:val="105"/>
        </w:rPr>
        <w:t xml:space="preserve"> </w:t>
      </w:r>
      <w:r>
        <w:rPr>
          <w:color w:val="33342E"/>
          <w:w w:val="105"/>
        </w:rPr>
        <w:t>collaboratively</w:t>
      </w:r>
      <w:r>
        <w:rPr>
          <w:color w:val="33342E"/>
          <w:spacing w:val="-5"/>
          <w:w w:val="105"/>
        </w:rPr>
        <w:t xml:space="preserve"> </w:t>
      </w:r>
      <w:r>
        <w:rPr>
          <w:color w:val="33342E"/>
          <w:w w:val="105"/>
        </w:rPr>
        <w:t>across</w:t>
      </w:r>
      <w:r>
        <w:rPr>
          <w:color w:val="33342E"/>
          <w:spacing w:val="-5"/>
          <w:w w:val="105"/>
        </w:rPr>
        <w:t xml:space="preserve"> </w:t>
      </w:r>
      <w:r>
        <w:rPr>
          <w:color w:val="33342E"/>
          <w:w w:val="105"/>
        </w:rPr>
        <w:t>the</w:t>
      </w:r>
      <w:r>
        <w:rPr>
          <w:color w:val="33342E"/>
          <w:spacing w:val="11"/>
          <w:w w:val="105"/>
        </w:rPr>
        <w:t xml:space="preserve"> </w:t>
      </w:r>
      <w:r>
        <w:rPr>
          <w:color w:val="33342E"/>
          <w:w w:val="105"/>
        </w:rPr>
        <w:t>NIH,</w:t>
      </w:r>
      <w:r>
        <w:rPr>
          <w:color w:val="33342E"/>
          <w:spacing w:val="-7"/>
          <w:w w:val="105"/>
        </w:rPr>
        <w:t xml:space="preserve"> </w:t>
      </w:r>
      <w:r>
        <w:rPr>
          <w:color w:val="33342E"/>
          <w:w w:val="105"/>
        </w:rPr>
        <w:t>with</w:t>
      </w:r>
      <w:r>
        <w:rPr>
          <w:color w:val="33342E"/>
          <w:spacing w:val="-4"/>
          <w:w w:val="105"/>
        </w:rPr>
        <w:t xml:space="preserve"> </w:t>
      </w:r>
      <w:r>
        <w:rPr>
          <w:color w:val="33342E"/>
          <w:w w:val="105"/>
        </w:rPr>
        <w:t>other</w:t>
      </w:r>
      <w:r>
        <w:rPr>
          <w:color w:val="33342E"/>
          <w:spacing w:val="-6"/>
          <w:w w:val="105"/>
        </w:rPr>
        <w:t xml:space="preserve"> </w:t>
      </w:r>
      <w:r>
        <w:rPr>
          <w:color w:val="33342E"/>
          <w:w w:val="105"/>
        </w:rPr>
        <w:t>federal</w:t>
      </w:r>
      <w:r>
        <w:rPr>
          <w:color w:val="33342E"/>
          <w:spacing w:val="-4"/>
          <w:w w:val="105"/>
        </w:rPr>
        <w:t xml:space="preserve"> </w:t>
      </w:r>
      <w:r>
        <w:rPr>
          <w:color w:val="33342E"/>
          <w:w w:val="105"/>
        </w:rPr>
        <w:t>agencies,</w:t>
      </w:r>
      <w:r>
        <w:rPr>
          <w:color w:val="33342E"/>
          <w:spacing w:val="-8"/>
          <w:w w:val="105"/>
        </w:rPr>
        <w:t xml:space="preserve"> </w:t>
      </w:r>
      <w:r>
        <w:rPr>
          <w:color w:val="33342E"/>
          <w:spacing w:val="-2"/>
          <w:w w:val="105"/>
        </w:rPr>
        <w:t xml:space="preserve">and </w:t>
      </w:r>
      <w:r>
        <w:rPr>
          <w:color w:val="33342E"/>
          <w:w w:val="105"/>
        </w:rPr>
        <w:t>with key stakeholders and organizat</w:t>
      </w:r>
      <w:r>
        <w:rPr>
          <w:color w:val="505B63"/>
          <w:w w:val="105"/>
        </w:rPr>
        <w:t>i</w:t>
      </w:r>
      <w:r>
        <w:rPr>
          <w:color w:val="33342E"/>
          <w:w w:val="105"/>
        </w:rPr>
        <w:t>ons to further the Institute's mission and objectives</w:t>
      </w:r>
      <w:r>
        <w:rPr>
          <w:color w:val="505B63"/>
          <w:w w:val="105"/>
        </w:rPr>
        <w:t xml:space="preserve">. </w:t>
      </w:r>
      <w:r>
        <w:rPr>
          <w:color w:val="33342E"/>
          <w:w w:val="105"/>
        </w:rPr>
        <w:t>The ideal candidate is a key member of</w:t>
      </w:r>
      <w:r>
        <w:rPr>
          <w:color w:val="33342E"/>
          <w:spacing w:val="-11"/>
          <w:w w:val="105"/>
        </w:rPr>
        <w:t xml:space="preserve"> </w:t>
      </w:r>
      <w:r>
        <w:rPr>
          <w:color w:val="33342E"/>
          <w:w w:val="105"/>
        </w:rPr>
        <w:t>the</w:t>
      </w:r>
      <w:r>
        <w:rPr>
          <w:color w:val="33342E"/>
          <w:spacing w:val="-8"/>
          <w:w w:val="105"/>
        </w:rPr>
        <w:t xml:space="preserve"> </w:t>
      </w:r>
      <w:r>
        <w:rPr>
          <w:color w:val="33342E"/>
          <w:w w:val="105"/>
        </w:rPr>
        <w:t>NINR</w:t>
      </w:r>
      <w:r>
        <w:rPr>
          <w:color w:val="33342E"/>
          <w:spacing w:val="-2"/>
          <w:w w:val="105"/>
        </w:rPr>
        <w:t xml:space="preserve"> </w:t>
      </w:r>
      <w:r>
        <w:rPr>
          <w:color w:val="33342E"/>
          <w:w w:val="105"/>
        </w:rPr>
        <w:t>leadership</w:t>
      </w:r>
      <w:r>
        <w:rPr>
          <w:color w:val="33342E"/>
          <w:spacing w:val="-6"/>
          <w:w w:val="105"/>
        </w:rPr>
        <w:t xml:space="preserve"> </w:t>
      </w:r>
      <w:r>
        <w:rPr>
          <w:color w:val="33342E"/>
          <w:w w:val="105"/>
        </w:rPr>
        <w:t>team</w:t>
      </w:r>
      <w:r>
        <w:rPr>
          <w:color w:val="33342E"/>
          <w:spacing w:val="-5"/>
          <w:w w:val="105"/>
        </w:rPr>
        <w:t xml:space="preserve"> </w:t>
      </w:r>
      <w:r>
        <w:rPr>
          <w:color w:val="33342E"/>
          <w:w w:val="105"/>
        </w:rPr>
        <w:t>and</w:t>
      </w:r>
      <w:r>
        <w:rPr>
          <w:color w:val="33342E"/>
          <w:spacing w:val="-11"/>
          <w:w w:val="105"/>
        </w:rPr>
        <w:t xml:space="preserve"> </w:t>
      </w:r>
      <w:r>
        <w:rPr>
          <w:color w:val="33342E"/>
          <w:w w:val="105"/>
        </w:rPr>
        <w:t>represents</w:t>
      </w:r>
      <w:r>
        <w:rPr>
          <w:color w:val="33342E"/>
          <w:spacing w:val="1"/>
          <w:w w:val="105"/>
        </w:rPr>
        <w:t xml:space="preserve"> </w:t>
      </w:r>
      <w:r>
        <w:rPr>
          <w:color w:val="33342E"/>
          <w:w w:val="105"/>
        </w:rPr>
        <w:t>the</w:t>
      </w:r>
      <w:r>
        <w:rPr>
          <w:color w:val="33342E"/>
          <w:spacing w:val="4"/>
          <w:w w:val="105"/>
        </w:rPr>
        <w:t xml:space="preserve"> </w:t>
      </w:r>
      <w:r>
        <w:rPr>
          <w:color w:val="33342E"/>
          <w:w w:val="105"/>
        </w:rPr>
        <w:t>NINR's</w:t>
      </w:r>
      <w:r>
        <w:rPr>
          <w:color w:val="33342E"/>
          <w:spacing w:val="-6"/>
          <w:w w:val="105"/>
        </w:rPr>
        <w:t xml:space="preserve"> </w:t>
      </w:r>
      <w:r>
        <w:rPr>
          <w:color w:val="33342E"/>
          <w:w w:val="105"/>
        </w:rPr>
        <w:t>extramural</w:t>
      </w:r>
      <w:r>
        <w:rPr>
          <w:color w:val="33342E"/>
          <w:spacing w:val="4"/>
          <w:w w:val="105"/>
        </w:rPr>
        <w:t xml:space="preserve"> </w:t>
      </w:r>
      <w:r>
        <w:rPr>
          <w:color w:val="33342E"/>
          <w:w w:val="105"/>
        </w:rPr>
        <w:t>program</w:t>
      </w:r>
      <w:r>
        <w:rPr>
          <w:color w:val="33342E"/>
          <w:spacing w:val="-3"/>
          <w:w w:val="105"/>
        </w:rPr>
        <w:t xml:space="preserve"> </w:t>
      </w:r>
      <w:r>
        <w:rPr>
          <w:color w:val="33342E"/>
          <w:w w:val="105"/>
        </w:rPr>
        <w:t>to</w:t>
      </w:r>
      <w:r>
        <w:rPr>
          <w:color w:val="33342E"/>
          <w:spacing w:val="3"/>
          <w:w w:val="105"/>
        </w:rPr>
        <w:t xml:space="preserve"> </w:t>
      </w:r>
      <w:r>
        <w:rPr>
          <w:color w:val="33342E"/>
          <w:w w:val="105"/>
        </w:rPr>
        <w:t>the</w:t>
      </w:r>
      <w:r>
        <w:rPr>
          <w:color w:val="33342E"/>
          <w:spacing w:val="5"/>
          <w:w w:val="105"/>
        </w:rPr>
        <w:t xml:space="preserve"> </w:t>
      </w:r>
      <w:r>
        <w:rPr>
          <w:color w:val="33342E"/>
          <w:w w:val="105"/>
        </w:rPr>
        <w:t>scientific/nursing</w:t>
      </w:r>
      <w:r>
        <w:rPr>
          <w:color w:val="33342E"/>
          <w:spacing w:val="-12"/>
          <w:w w:val="105"/>
        </w:rPr>
        <w:t xml:space="preserve"> </w:t>
      </w:r>
      <w:r>
        <w:rPr>
          <w:color w:val="33342E"/>
          <w:w w:val="105"/>
        </w:rPr>
        <w:t>community.</w:t>
      </w:r>
    </w:p>
    <w:p w14:paraId="68F3306B" w14:textId="77777777" w:rsidR="000F02BA" w:rsidRDefault="000F02BA">
      <w:pPr>
        <w:pStyle w:val="BodyText"/>
        <w:spacing w:before="3"/>
        <w:rPr>
          <w:sz w:val="18"/>
        </w:rPr>
      </w:pPr>
    </w:p>
    <w:p w14:paraId="0516424B" w14:textId="0D4AE4EA" w:rsidR="000F02BA" w:rsidRPr="00A34649" w:rsidRDefault="00A34649" w:rsidP="00A34649">
      <w:pPr>
        <w:pStyle w:val="Heading1"/>
        <w:spacing w:line="283" w:lineRule="auto"/>
        <w:ind w:left="341" w:hanging="10"/>
        <w:rPr>
          <w:rFonts w:ascii="Arial" w:eastAsia="Arial" w:hAnsi="Arial" w:cs="Arial"/>
          <w:b w:val="0"/>
          <w:bCs w:val="0"/>
          <w:i w:val="0"/>
          <w:color w:val="33342E"/>
          <w:w w:val="105"/>
          <w:sz w:val="16"/>
          <w:szCs w:val="16"/>
        </w:rPr>
      </w:pPr>
      <w:r w:rsidRPr="00A34649">
        <w:rPr>
          <w:rFonts w:ascii="Arial" w:eastAsia="Arial" w:hAnsi="Arial" w:cs="Arial"/>
          <w:b w:val="0"/>
          <w:bCs w:val="0"/>
          <w:i w:val="0"/>
          <w:color w:val="33342E"/>
          <w:w w:val="105"/>
          <w:sz w:val="16"/>
          <w:szCs w:val="16"/>
        </w:rPr>
        <w:t>The NINR seeks</w:t>
      </w:r>
      <w:r w:rsidR="00577D89" w:rsidRPr="00A34649">
        <w:rPr>
          <w:rFonts w:ascii="Arial" w:eastAsia="Arial" w:hAnsi="Arial" w:cs="Arial"/>
          <w:b w:val="0"/>
          <w:bCs w:val="0"/>
          <w:i w:val="0"/>
          <w:color w:val="33342E"/>
          <w:w w:val="105"/>
          <w:sz w:val="16"/>
          <w:szCs w:val="16"/>
        </w:rPr>
        <w:t xml:space="preserve"> applicants with a commitment to scientific excellence and the energy, enthusiasm and innovative thinking necessary to lead within a dynamic and diverse organization.</w:t>
      </w:r>
      <w:r w:rsidRPr="00A34649">
        <w:rPr>
          <w:rFonts w:ascii="Arial" w:eastAsia="Arial" w:hAnsi="Arial" w:cs="Arial"/>
          <w:b w:val="0"/>
          <w:bCs w:val="0"/>
          <w:i w:val="0"/>
          <w:color w:val="33342E"/>
          <w:w w:val="105"/>
          <w:sz w:val="16"/>
          <w:szCs w:val="16"/>
        </w:rPr>
        <w:t xml:space="preserve">  </w:t>
      </w:r>
      <w:r w:rsidR="00577D89" w:rsidRPr="00A34649">
        <w:rPr>
          <w:rFonts w:ascii="Arial" w:eastAsia="Arial" w:hAnsi="Arial" w:cs="Arial"/>
          <w:b w:val="0"/>
          <w:bCs w:val="0"/>
          <w:i w:val="0"/>
          <w:color w:val="33342E"/>
          <w:w w:val="105"/>
          <w:sz w:val="16"/>
          <w:szCs w:val="16"/>
        </w:rPr>
        <w:t>Applicants must possess a Ph.D. or doctoral degree equivalent in health or allied sciences relevant to the position. They must have senior level scientific research experience and outstanding knowledge of at least one of the scientific areas identified in NINR's strategic plan. The ideal candidate will have a distinguished track record of contributions to nursing science; demonstrated leadership and broad visionary capabilities in their scientific focus area(s); and demonstrated management acumen including a commitment to a diverse workforce.</w:t>
      </w:r>
    </w:p>
    <w:p w14:paraId="41F9F417" w14:textId="77777777" w:rsidR="000F02BA" w:rsidRDefault="000F02BA">
      <w:pPr>
        <w:pStyle w:val="BodyText"/>
        <w:spacing w:before="5"/>
        <w:rPr>
          <w:sz w:val="23"/>
        </w:rPr>
      </w:pPr>
    </w:p>
    <w:p w14:paraId="2D15DCB7" w14:textId="77777777" w:rsidR="000F02BA" w:rsidRPr="00A34649" w:rsidRDefault="00577D89">
      <w:pPr>
        <w:ind w:left="341"/>
        <w:jc w:val="both"/>
        <w:rPr>
          <w:b/>
          <w:bCs/>
          <w:i/>
          <w:sz w:val="14"/>
        </w:rPr>
      </w:pPr>
      <w:r w:rsidRPr="00A34649">
        <w:rPr>
          <w:b/>
          <w:bCs/>
          <w:i/>
          <w:color w:val="33342E"/>
          <w:sz w:val="14"/>
        </w:rPr>
        <w:t>HOW TO APPLY</w:t>
      </w:r>
    </w:p>
    <w:p w14:paraId="3AC12176" w14:textId="3DFD2879" w:rsidR="000F02BA" w:rsidRDefault="00270B1A">
      <w:pPr>
        <w:pStyle w:val="BodyText"/>
        <w:spacing w:before="51" w:line="285" w:lineRule="auto"/>
        <w:ind w:left="343" w:right="178"/>
      </w:pPr>
      <w:r>
        <w:rPr>
          <w:noProof/>
        </w:rPr>
        <mc:AlternateContent>
          <mc:Choice Requires="wps">
            <w:drawing>
              <wp:anchor distT="0" distB="0" distL="114300" distR="114300" simplePos="0" relativeHeight="251657728" behindDoc="1" locked="0" layoutInCell="1" allowOverlap="1" wp14:anchorId="4B4556D1" wp14:editId="12CF83BA">
                <wp:simplePos x="0" y="0"/>
                <wp:positionH relativeFrom="page">
                  <wp:posOffset>2753360</wp:posOffset>
                </wp:positionH>
                <wp:positionV relativeFrom="paragraph">
                  <wp:posOffset>414655</wp:posOffset>
                </wp:positionV>
                <wp:extent cx="29210" cy="1651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16510"/>
                        </a:xfrm>
                        <a:prstGeom prst="rect">
                          <a:avLst/>
                        </a:prstGeom>
                        <a:solidFill>
                          <a:srgbClr val="227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DB0E6" id="Rectangle 2" o:spid="_x0000_s1026" style="position:absolute;margin-left:216.8pt;margin-top:32.65pt;width:2.3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" fillcolor="#2275b3" stroked="f">
                <w10:wrap anchorx="page"/>
              </v:rect>
            </w:pict>
          </mc:Fallback>
        </mc:AlternateContent>
      </w:r>
      <w:r w:rsidR="00577D89">
        <w:rPr>
          <w:color w:val="33342E"/>
          <w:w w:val="105"/>
        </w:rPr>
        <w:t>Interested applicants should submit (via pdf or Microsoft Word format only) a current Curriculum Vitae, Bibliography, supplemental</w:t>
      </w:r>
      <w:r w:rsidR="00577D89">
        <w:rPr>
          <w:color w:val="33342E"/>
          <w:spacing w:val="-4"/>
          <w:w w:val="105"/>
        </w:rPr>
        <w:t xml:space="preserve"> </w:t>
      </w:r>
      <w:r w:rsidR="00577D89">
        <w:rPr>
          <w:color w:val="33342E"/>
          <w:w w:val="105"/>
        </w:rPr>
        <w:t>narrative</w:t>
      </w:r>
      <w:r w:rsidR="00577D89">
        <w:rPr>
          <w:color w:val="33342E"/>
          <w:spacing w:val="-5"/>
          <w:w w:val="105"/>
        </w:rPr>
        <w:t xml:space="preserve"> </w:t>
      </w:r>
      <w:r w:rsidR="00577D89">
        <w:rPr>
          <w:color w:val="33342E"/>
          <w:w w:val="105"/>
        </w:rPr>
        <w:t>statement</w:t>
      </w:r>
      <w:r w:rsidR="00577D89">
        <w:rPr>
          <w:color w:val="33342E"/>
          <w:spacing w:val="-6"/>
          <w:w w:val="105"/>
        </w:rPr>
        <w:t xml:space="preserve"> </w:t>
      </w:r>
      <w:r w:rsidR="00577D89">
        <w:rPr>
          <w:color w:val="33342E"/>
          <w:w w:val="105"/>
        </w:rPr>
        <w:t>that</w:t>
      </w:r>
      <w:r w:rsidR="00577D89">
        <w:rPr>
          <w:color w:val="33342E"/>
          <w:spacing w:val="-6"/>
          <w:w w:val="105"/>
        </w:rPr>
        <w:t xml:space="preserve"> </w:t>
      </w:r>
      <w:r w:rsidR="00577D89">
        <w:rPr>
          <w:color w:val="33342E"/>
          <w:w w:val="105"/>
        </w:rPr>
        <w:t>addresses</w:t>
      </w:r>
      <w:r w:rsidR="00577D89">
        <w:rPr>
          <w:color w:val="33342E"/>
          <w:spacing w:val="-7"/>
          <w:w w:val="105"/>
        </w:rPr>
        <w:t xml:space="preserve"> </w:t>
      </w:r>
      <w:r w:rsidR="00577D89">
        <w:rPr>
          <w:color w:val="33342E"/>
          <w:w w:val="105"/>
        </w:rPr>
        <w:t>relevant</w:t>
      </w:r>
      <w:r w:rsidR="00577D89">
        <w:rPr>
          <w:color w:val="33342E"/>
          <w:spacing w:val="-3"/>
          <w:w w:val="105"/>
        </w:rPr>
        <w:t xml:space="preserve"> </w:t>
      </w:r>
      <w:r w:rsidR="00577D89">
        <w:rPr>
          <w:color w:val="33342E"/>
          <w:w w:val="105"/>
        </w:rPr>
        <w:t>experience</w:t>
      </w:r>
      <w:r w:rsidR="00577D89">
        <w:rPr>
          <w:color w:val="33342E"/>
          <w:spacing w:val="-5"/>
          <w:w w:val="105"/>
        </w:rPr>
        <w:t xml:space="preserve"> </w:t>
      </w:r>
      <w:r w:rsidR="00577D89">
        <w:rPr>
          <w:color w:val="33342E"/>
          <w:w w:val="105"/>
        </w:rPr>
        <w:t>and</w:t>
      </w:r>
      <w:r w:rsidR="00577D89">
        <w:rPr>
          <w:color w:val="33342E"/>
          <w:spacing w:val="-6"/>
          <w:w w:val="105"/>
        </w:rPr>
        <w:t xml:space="preserve"> </w:t>
      </w:r>
      <w:r w:rsidR="00577D89">
        <w:rPr>
          <w:color w:val="33342E"/>
          <w:w w:val="105"/>
        </w:rPr>
        <w:t>qualifications,</w:t>
      </w:r>
      <w:r w:rsidR="00577D89">
        <w:rPr>
          <w:color w:val="33342E"/>
          <w:spacing w:val="-6"/>
          <w:w w:val="105"/>
        </w:rPr>
        <w:t xml:space="preserve"> </w:t>
      </w:r>
      <w:r w:rsidR="00577D89">
        <w:rPr>
          <w:color w:val="33342E"/>
          <w:w w:val="105"/>
        </w:rPr>
        <w:t>and</w:t>
      </w:r>
      <w:r w:rsidR="00577D89">
        <w:rPr>
          <w:color w:val="33342E"/>
          <w:spacing w:val="-6"/>
          <w:w w:val="105"/>
        </w:rPr>
        <w:t xml:space="preserve"> </w:t>
      </w:r>
      <w:r w:rsidR="00577D89">
        <w:rPr>
          <w:color w:val="33342E"/>
          <w:w w:val="105"/>
        </w:rPr>
        <w:t>the</w:t>
      </w:r>
      <w:r w:rsidR="00577D89">
        <w:rPr>
          <w:color w:val="33342E"/>
          <w:spacing w:val="-6"/>
          <w:w w:val="105"/>
        </w:rPr>
        <w:t xml:space="preserve"> </w:t>
      </w:r>
      <w:r w:rsidR="00577D89">
        <w:rPr>
          <w:color w:val="33342E"/>
          <w:w w:val="105"/>
        </w:rPr>
        <w:t>full</w:t>
      </w:r>
      <w:r w:rsidR="00577D89">
        <w:rPr>
          <w:color w:val="33342E"/>
          <w:spacing w:val="-5"/>
          <w:w w:val="105"/>
        </w:rPr>
        <w:t xml:space="preserve"> </w:t>
      </w:r>
      <w:r w:rsidR="00577D89">
        <w:rPr>
          <w:color w:val="33342E"/>
          <w:w w:val="105"/>
        </w:rPr>
        <w:t>contact</w:t>
      </w:r>
      <w:r w:rsidR="00577D89">
        <w:rPr>
          <w:color w:val="33342E"/>
          <w:spacing w:val="-6"/>
          <w:w w:val="105"/>
        </w:rPr>
        <w:t xml:space="preserve"> </w:t>
      </w:r>
      <w:r w:rsidR="00577D89">
        <w:rPr>
          <w:color w:val="33342E"/>
          <w:w w:val="105"/>
        </w:rPr>
        <w:t>information</w:t>
      </w:r>
      <w:r w:rsidR="00577D89">
        <w:rPr>
          <w:color w:val="33342E"/>
          <w:spacing w:val="-6"/>
          <w:w w:val="105"/>
        </w:rPr>
        <w:t xml:space="preserve"> </w:t>
      </w:r>
      <w:r w:rsidR="00577D89">
        <w:rPr>
          <w:color w:val="33342E"/>
          <w:w w:val="105"/>
        </w:rPr>
        <w:t>o</w:t>
      </w:r>
      <w:r w:rsidR="00C4243E">
        <w:rPr>
          <w:color w:val="33342E"/>
          <w:w w:val="105"/>
        </w:rPr>
        <w:t>f five</w:t>
      </w:r>
      <w:r w:rsidR="00577D89">
        <w:rPr>
          <w:color w:val="33342E"/>
          <w:w w:val="105"/>
        </w:rPr>
        <w:t xml:space="preserve"> references to: </w:t>
      </w:r>
      <w:hyperlink r:id="rId5">
        <w:r w:rsidR="00577D89">
          <w:rPr>
            <w:color w:val="0761AA"/>
            <w:w w:val="105"/>
            <w:u w:val="thick" w:color="0761AA"/>
          </w:rPr>
          <w:t>ninrrecruitment@mail.nih</w:t>
        </w:r>
        <w:r w:rsidR="00577D89">
          <w:rPr>
            <w:color w:val="2275B3"/>
            <w:w w:val="105"/>
          </w:rPr>
          <w:t>.</w:t>
        </w:r>
        <w:r w:rsidR="00577D89">
          <w:rPr>
            <w:color w:val="0761AA"/>
            <w:w w:val="105"/>
            <w:u w:val="thick" w:color="0761AA"/>
          </w:rPr>
          <w:t>gov</w:t>
        </w:r>
        <w:r w:rsidR="00577D89">
          <w:rPr>
            <w:color w:val="33342E"/>
            <w:w w:val="105"/>
          </w:rPr>
          <w:t xml:space="preserve">. </w:t>
        </w:r>
      </w:hyperlink>
      <w:r w:rsidR="00577D89">
        <w:rPr>
          <w:color w:val="33342E"/>
          <w:w w:val="105"/>
        </w:rPr>
        <w:t xml:space="preserve">For questions about the position or application process, email: </w:t>
      </w:r>
      <w:hyperlink r:id="rId6">
        <w:r w:rsidR="00577D89">
          <w:rPr>
            <w:color w:val="33342E"/>
            <w:w w:val="105"/>
          </w:rPr>
          <w:t>Yvonne.Bryan@nih.gov.</w:t>
        </w:r>
      </w:hyperlink>
    </w:p>
    <w:p w14:paraId="1E2D8290" w14:textId="77777777" w:rsidR="000F02BA" w:rsidRDefault="000F02BA">
      <w:pPr>
        <w:pStyle w:val="BodyText"/>
        <w:rPr>
          <w:sz w:val="18"/>
        </w:rPr>
      </w:pPr>
    </w:p>
    <w:p w14:paraId="52F687DB" w14:textId="77777777" w:rsidR="000F02BA" w:rsidRDefault="000F02BA">
      <w:pPr>
        <w:pStyle w:val="BodyText"/>
        <w:spacing w:before="7"/>
        <w:rPr>
          <w:sz w:val="22"/>
        </w:rPr>
      </w:pPr>
    </w:p>
    <w:p w14:paraId="56C6C994" w14:textId="44820B03" w:rsidR="000F02BA" w:rsidRPr="001437A8" w:rsidRDefault="00577D89" w:rsidP="007B767E">
      <w:pPr>
        <w:ind w:left="2721" w:right="2501"/>
        <w:jc w:val="center"/>
        <w:rPr>
          <w:color w:val="33342E"/>
          <w:w w:val="105"/>
          <w:sz w:val="16"/>
          <w:szCs w:val="16"/>
        </w:rPr>
      </w:pPr>
      <w:r w:rsidRPr="001437A8">
        <w:rPr>
          <w:color w:val="33342E"/>
          <w:w w:val="105"/>
          <w:sz w:val="16"/>
          <w:szCs w:val="16"/>
        </w:rPr>
        <w:t>Applications will be accepted</w:t>
      </w:r>
      <w:r w:rsidR="001437A8" w:rsidRPr="001437A8">
        <w:rPr>
          <w:color w:val="33342E"/>
          <w:w w:val="105"/>
          <w:sz w:val="16"/>
          <w:szCs w:val="16"/>
        </w:rPr>
        <w:t xml:space="preserve"> from</w:t>
      </w:r>
      <w:r w:rsidRPr="001437A8">
        <w:rPr>
          <w:color w:val="33342E"/>
          <w:w w:val="105"/>
          <w:sz w:val="16"/>
          <w:szCs w:val="16"/>
        </w:rPr>
        <w:t xml:space="preserve"> </w:t>
      </w:r>
      <w:r w:rsidR="007B767E" w:rsidRPr="001437A8">
        <w:rPr>
          <w:color w:val="33342E"/>
          <w:w w:val="105"/>
          <w:sz w:val="16"/>
          <w:szCs w:val="16"/>
        </w:rPr>
        <w:t xml:space="preserve">9/8/2020 </w:t>
      </w:r>
      <w:r w:rsidR="001437A8">
        <w:rPr>
          <w:color w:val="33342E"/>
          <w:w w:val="105"/>
          <w:sz w:val="16"/>
          <w:szCs w:val="16"/>
        </w:rPr>
        <w:t>through</w:t>
      </w:r>
      <w:r w:rsidR="007B767E" w:rsidRPr="001437A8">
        <w:rPr>
          <w:color w:val="33342E"/>
          <w:w w:val="105"/>
          <w:sz w:val="16"/>
          <w:szCs w:val="16"/>
        </w:rPr>
        <w:t xml:space="preserve"> 10/23/2020</w:t>
      </w:r>
    </w:p>
    <w:p w14:paraId="2330179F" w14:textId="77777777" w:rsidR="000F02BA" w:rsidRDefault="000F02BA">
      <w:pPr>
        <w:pStyle w:val="BodyText"/>
        <w:rPr>
          <w:sz w:val="18"/>
        </w:rPr>
      </w:pPr>
    </w:p>
    <w:p w14:paraId="0706F4F9" w14:textId="77777777" w:rsidR="000F02BA" w:rsidRDefault="000F02BA">
      <w:pPr>
        <w:pStyle w:val="BodyText"/>
        <w:spacing w:before="4"/>
        <w:rPr>
          <w:sz w:val="24"/>
        </w:rPr>
      </w:pPr>
    </w:p>
    <w:p w14:paraId="30F0AF80" w14:textId="5BCF3AD4" w:rsidR="000F02BA" w:rsidRDefault="00577D89">
      <w:pPr>
        <w:pStyle w:val="Heading1"/>
        <w:spacing w:line="319" w:lineRule="auto"/>
        <w:ind w:left="343" w:right="206"/>
      </w:pPr>
      <w:r>
        <w:rPr>
          <w:color w:val="33342E"/>
          <w:w w:val="105"/>
        </w:rPr>
        <w:t>The successful candidate for this position will be appointed at a salary commensurate with experience and accomplishments, and full Federal bene</w:t>
      </w:r>
      <w:r w:rsidR="00AF27C3">
        <w:rPr>
          <w:color w:val="33342E"/>
          <w:w w:val="105"/>
        </w:rPr>
        <w:t>fits</w:t>
      </w:r>
      <w:r>
        <w:rPr>
          <w:color w:val="33342E"/>
          <w:w w:val="105"/>
        </w:rPr>
        <w:t>, including leave, health and life insurance, retirement and savings plan {401K equivalent).</w:t>
      </w:r>
    </w:p>
    <w:p w14:paraId="1C89A070" w14:textId="77777777" w:rsidR="000F02BA" w:rsidRDefault="000F02BA">
      <w:pPr>
        <w:pStyle w:val="BodyText"/>
        <w:spacing w:before="1"/>
        <w:rPr>
          <w:rFonts w:ascii="Times New Roman"/>
          <w:b/>
          <w:i/>
          <w:sz w:val="18"/>
        </w:rPr>
      </w:pPr>
    </w:p>
    <w:p w14:paraId="66DCA17B" w14:textId="77777777" w:rsidR="000F02BA" w:rsidRDefault="00577D89">
      <w:pPr>
        <w:ind w:left="2723" w:right="2501"/>
        <w:jc w:val="center"/>
        <w:rPr>
          <w:i/>
          <w:sz w:val="15"/>
        </w:rPr>
      </w:pPr>
      <w:r>
        <w:rPr>
          <w:i/>
          <w:color w:val="33342E"/>
          <w:sz w:val="15"/>
        </w:rPr>
        <w:t>NINR, NIH, AND DHHS ARE EQUAL OPPORTUNITY EMPLOYERS</w:t>
      </w:r>
    </w:p>
    <w:sectPr w:rsidR="000F02BA">
      <w:type w:val="continuous"/>
      <w:pgSz w:w="12240" w:h="15840"/>
      <w:pgMar w:top="600" w:right="132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2BA"/>
    <w:rsid w:val="000F02BA"/>
    <w:rsid w:val="001437A8"/>
    <w:rsid w:val="00270B1A"/>
    <w:rsid w:val="00577D89"/>
    <w:rsid w:val="00770E92"/>
    <w:rsid w:val="007B767E"/>
    <w:rsid w:val="00A34649"/>
    <w:rsid w:val="00AF27C3"/>
    <w:rsid w:val="00C4243E"/>
    <w:rsid w:val="00C84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FEE3E"/>
  <w15:docId w15:val="{7C7E89F3-65CE-497D-8245-7C0271F5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338"/>
      <w:outlineLvl w:val="0"/>
    </w:pPr>
    <w:rPr>
      <w:rFonts w:ascii="Times New Roman" w:eastAsia="Times New Roman" w:hAnsi="Times New Roman" w:cs="Times New Roman"/>
      <w:b/>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vonne.Bryan@nih.gov" TargetMode="External"/><Relationship Id="rId5" Type="http://schemas.openxmlformats.org/officeDocument/2006/relationships/hyperlink" Target="mailto:ninrrecruitment@mail.nih.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Yvonne (NIH/NINR) [E]</dc:creator>
  <cp:lastModifiedBy>Ellie Cook</cp:lastModifiedBy>
  <cp:revision>2</cp:revision>
  <dcterms:created xsi:type="dcterms:W3CDTF">2020-09-03T17:10:00Z</dcterms:created>
  <dcterms:modified xsi:type="dcterms:W3CDTF">2020-09-03T17:10:00Z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2019-03-14T00:00:00Z</vt:filetime>
  </property>
  <property fmtid="{D5CDD505-2E9C-101B-9397-08002B2CF9AE}" pid="3" name="Creator">
    <vt:lpwstr>Microsoft® Word for Office 365</vt:lpwstr>
  </property>
  <property fmtid="{D5CDD505-2E9C-101B-9397-08002B2CF9AE}" pid="4" name="LastSaved">
    <vt:filetime>2020-07-17T00:00:00Z</vt:filetime>
  </property>
</Properties>
</file>