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27A00" w14:textId="77777777" w:rsidR="002279D2" w:rsidRDefault="00837DED">
      <w:pPr>
        <w:pStyle w:val="BodyText"/>
        <w:ind w:left="145"/>
        <w:rPr>
          <w:rFonts w:ascii="Times New Roman"/>
          <w:sz w:val="20"/>
        </w:rPr>
      </w:pPr>
      <w:r>
        <w:rPr>
          <w:rFonts w:ascii="Times New Roman"/>
          <w:noProof/>
          <w:sz w:val="20"/>
        </w:rPr>
        <w:drawing>
          <wp:inline distT="0" distB="0" distL="0" distR="0" wp14:anchorId="6B62D058" wp14:editId="48DFBC80">
            <wp:extent cx="5891290" cy="1088136"/>
            <wp:effectExtent l="0" t="0" r="0" b="0"/>
            <wp:docPr id="1" name="image1.png" descr="A group of people on a roller coaster  Description automatically generated with low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891290" cy="1088136"/>
                    </a:xfrm>
                    <a:prstGeom prst="rect">
                      <a:avLst/>
                    </a:prstGeom>
                  </pic:spPr>
                </pic:pic>
              </a:graphicData>
            </a:graphic>
          </wp:inline>
        </w:drawing>
      </w:r>
    </w:p>
    <w:p w14:paraId="17AF4252" w14:textId="77777777" w:rsidR="002279D2" w:rsidRDefault="002279D2">
      <w:pPr>
        <w:pStyle w:val="BodyText"/>
        <w:spacing w:before="5"/>
        <w:rPr>
          <w:rFonts w:ascii="Times New Roman"/>
          <w:sz w:val="14"/>
        </w:rPr>
      </w:pPr>
    </w:p>
    <w:p w14:paraId="3990020E" w14:textId="77777777" w:rsidR="002279D2" w:rsidRDefault="00837DED">
      <w:pPr>
        <w:spacing w:before="93"/>
        <w:ind w:left="2386" w:right="2345"/>
        <w:jc w:val="center"/>
        <w:rPr>
          <w:b/>
        </w:rPr>
      </w:pPr>
      <w:r>
        <w:rPr>
          <w:b/>
        </w:rPr>
        <w:t>Department</w:t>
      </w:r>
      <w:r>
        <w:rPr>
          <w:b/>
          <w:spacing w:val="-2"/>
        </w:rPr>
        <w:t xml:space="preserve"> </w:t>
      </w:r>
      <w:r>
        <w:rPr>
          <w:b/>
        </w:rPr>
        <w:t>of</w:t>
      </w:r>
      <w:r>
        <w:rPr>
          <w:b/>
          <w:spacing w:val="-3"/>
        </w:rPr>
        <w:t xml:space="preserve"> </w:t>
      </w:r>
      <w:r>
        <w:rPr>
          <w:b/>
        </w:rPr>
        <w:t>Health</w:t>
      </w:r>
      <w:r>
        <w:rPr>
          <w:b/>
          <w:spacing w:val="-2"/>
        </w:rPr>
        <w:t xml:space="preserve"> </w:t>
      </w:r>
      <w:r>
        <w:rPr>
          <w:b/>
        </w:rPr>
        <w:t>and</w:t>
      </w:r>
      <w:r>
        <w:rPr>
          <w:b/>
          <w:spacing w:val="-3"/>
        </w:rPr>
        <w:t xml:space="preserve"> </w:t>
      </w:r>
      <w:r>
        <w:rPr>
          <w:b/>
        </w:rPr>
        <w:t>Human</w:t>
      </w:r>
      <w:r>
        <w:rPr>
          <w:b/>
          <w:spacing w:val="-2"/>
        </w:rPr>
        <w:t xml:space="preserve"> </w:t>
      </w:r>
      <w:r>
        <w:rPr>
          <w:b/>
        </w:rPr>
        <w:t>Services</w:t>
      </w:r>
      <w:r>
        <w:rPr>
          <w:b/>
          <w:spacing w:val="-59"/>
        </w:rPr>
        <w:t xml:space="preserve"> </w:t>
      </w:r>
      <w:r>
        <w:rPr>
          <w:b/>
        </w:rPr>
        <w:t>National</w:t>
      </w:r>
      <w:r>
        <w:rPr>
          <w:b/>
          <w:spacing w:val="-1"/>
        </w:rPr>
        <w:t xml:space="preserve"> </w:t>
      </w:r>
      <w:r>
        <w:rPr>
          <w:b/>
        </w:rPr>
        <w:t>Institutes of Health</w:t>
      </w:r>
    </w:p>
    <w:p w14:paraId="64ABAAC0" w14:textId="77777777" w:rsidR="002279D2" w:rsidRDefault="00837DED">
      <w:pPr>
        <w:ind w:left="2386" w:right="2347"/>
        <w:jc w:val="center"/>
        <w:rPr>
          <w:b/>
        </w:rPr>
      </w:pPr>
      <w:r>
        <w:rPr>
          <w:b/>
        </w:rPr>
        <w:t>National</w:t>
      </w:r>
      <w:r>
        <w:rPr>
          <w:b/>
          <w:spacing w:val="-2"/>
        </w:rPr>
        <w:t xml:space="preserve"> </w:t>
      </w:r>
      <w:r>
        <w:rPr>
          <w:b/>
        </w:rPr>
        <w:t>Institute</w:t>
      </w:r>
      <w:r>
        <w:rPr>
          <w:b/>
          <w:spacing w:val="-2"/>
        </w:rPr>
        <w:t xml:space="preserve"> </w:t>
      </w:r>
      <w:r>
        <w:rPr>
          <w:b/>
        </w:rPr>
        <w:t>of</w:t>
      </w:r>
      <w:r>
        <w:rPr>
          <w:b/>
          <w:spacing w:val="-1"/>
        </w:rPr>
        <w:t xml:space="preserve"> </w:t>
      </w:r>
      <w:r>
        <w:rPr>
          <w:b/>
        </w:rPr>
        <w:t>Nursing</w:t>
      </w:r>
      <w:r>
        <w:rPr>
          <w:b/>
          <w:spacing w:val="-2"/>
        </w:rPr>
        <w:t xml:space="preserve"> </w:t>
      </w:r>
      <w:r>
        <w:rPr>
          <w:b/>
        </w:rPr>
        <w:t>Research</w:t>
      </w:r>
    </w:p>
    <w:p w14:paraId="28C27586" w14:textId="77777777" w:rsidR="002279D2" w:rsidRDefault="002279D2">
      <w:pPr>
        <w:pStyle w:val="BodyText"/>
        <w:spacing w:before="11"/>
        <w:rPr>
          <w:b/>
          <w:sz w:val="21"/>
        </w:rPr>
      </w:pPr>
      <w:bookmarkStart w:id="0" w:name="_GoBack"/>
    </w:p>
    <w:p w14:paraId="47234D20" w14:textId="77777777" w:rsidR="002279D2" w:rsidRDefault="00837DED">
      <w:pPr>
        <w:ind w:left="2386" w:right="2348"/>
        <w:jc w:val="center"/>
        <w:rPr>
          <w:b/>
        </w:rPr>
      </w:pPr>
      <w:r>
        <w:rPr>
          <w:b/>
        </w:rPr>
        <w:t>Director</w:t>
      </w:r>
    </w:p>
    <w:p w14:paraId="3052AE5A" w14:textId="77777777" w:rsidR="002279D2" w:rsidRDefault="00837DED">
      <w:pPr>
        <w:ind w:left="2386" w:right="2348"/>
        <w:jc w:val="center"/>
        <w:rPr>
          <w:b/>
        </w:rPr>
      </w:pPr>
      <w:r>
        <w:rPr>
          <w:b/>
        </w:rPr>
        <w:t>Division</w:t>
      </w:r>
      <w:r>
        <w:rPr>
          <w:b/>
          <w:spacing w:val="-2"/>
        </w:rPr>
        <w:t xml:space="preserve"> </w:t>
      </w:r>
      <w:r>
        <w:rPr>
          <w:b/>
        </w:rPr>
        <w:t>of</w:t>
      </w:r>
      <w:r>
        <w:rPr>
          <w:b/>
          <w:spacing w:val="-2"/>
        </w:rPr>
        <w:t xml:space="preserve"> </w:t>
      </w:r>
      <w:r>
        <w:rPr>
          <w:b/>
        </w:rPr>
        <w:t>Extramural</w:t>
      </w:r>
      <w:r>
        <w:rPr>
          <w:b/>
          <w:spacing w:val="-1"/>
        </w:rPr>
        <w:t xml:space="preserve"> </w:t>
      </w:r>
      <w:r>
        <w:rPr>
          <w:b/>
        </w:rPr>
        <w:t>Science</w:t>
      </w:r>
      <w:r>
        <w:rPr>
          <w:b/>
          <w:spacing w:val="-2"/>
        </w:rPr>
        <w:t xml:space="preserve"> </w:t>
      </w:r>
      <w:r>
        <w:rPr>
          <w:b/>
        </w:rPr>
        <w:t>Programs</w:t>
      </w:r>
    </w:p>
    <w:bookmarkEnd w:id="0"/>
    <w:p w14:paraId="6EF7717C" w14:textId="77777777" w:rsidR="002279D2" w:rsidRDefault="002279D2">
      <w:pPr>
        <w:pStyle w:val="BodyText"/>
        <w:rPr>
          <w:b/>
          <w:sz w:val="24"/>
        </w:rPr>
      </w:pPr>
    </w:p>
    <w:p w14:paraId="25C98421" w14:textId="77777777" w:rsidR="002279D2" w:rsidRDefault="002279D2">
      <w:pPr>
        <w:pStyle w:val="BodyText"/>
        <w:spacing w:before="11"/>
        <w:rPr>
          <w:b/>
          <w:sz w:val="19"/>
        </w:rPr>
      </w:pPr>
    </w:p>
    <w:p w14:paraId="3EDEB6FC" w14:textId="5EDEDFF9" w:rsidR="002279D2" w:rsidRDefault="00837DED" w:rsidP="009E67FF">
      <w:pPr>
        <w:pStyle w:val="BodyText"/>
        <w:ind w:left="119" w:right="139"/>
      </w:pPr>
      <w:r>
        <w:t>The National Institute of Nursing Research (NINR) is seeking applications from outstanding</w:t>
      </w:r>
      <w:r>
        <w:rPr>
          <w:spacing w:val="1"/>
        </w:rPr>
        <w:t xml:space="preserve"> </w:t>
      </w:r>
      <w:r>
        <w:t>nurse scientist candidates for the position of Director of the Division of Extramural Science</w:t>
      </w:r>
      <w:r>
        <w:rPr>
          <w:spacing w:val="1"/>
        </w:rPr>
        <w:t xml:space="preserve"> </w:t>
      </w:r>
      <w:r>
        <w:t>Programs (DESP) to provide visionary leadership for nursing research.</w:t>
      </w:r>
      <w:r w:rsidR="009E67FF">
        <w:t xml:space="preserve"> L</w:t>
      </w:r>
      <w:r>
        <w:t>ocated in</w:t>
      </w:r>
      <w:r>
        <w:rPr>
          <w:spacing w:val="1"/>
        </w:rPr>
        <w:t xml:space="preserve"> </w:t>
      </w:r>
      <w:r>
        <w:t xml:space="preserve">Bethesda, Maryland, </w:t>
      </w:r>
      <w:r w:rsidR="009E67FF">
        <w:t>NINR uses nursing’s holistic perspective to advance research that improves individual and population health and promotes health equity by identifying nursing practice and policy solutions across clinical and community settings that are responsive to people’s lives and living conditions</w:t>
      </w:r>
      <w:r>
        <w:t>. NINR is moving in exciting new directions, and the DESP</w:t>
      </w:r>
      <w:r>
        <w:rPr>
          <w:spacing w:val="1"/>
        </w:rPr>
        <w:t xml:space="preserve"> </w:t>
      </w:r>
      <w:r>
        <w:t>Director will play a central role in shaping these developments. The DESP Director is a key</w:t>
      </w:r>
      <w:r>
        <w:rPr>
          <w:spacing w:val="1"/>
        </w:rPr>
        <w:t xml:space="preserve"> </w:t>
      </w:r>
      <w:r>
        <w:t>member</w:t>
      </w:r>
      <w:r>
        <w:rPr>
          <w:spacing w:val="-1"/>
        </w:rPr>
        <w:t xml:space="preserve"> </w:t>
      </w:r>
      <w:r>
        <w:t>of</w:t>
      </w:r>
      <w:r>
        <w:rPr>
          <w:spacing w:val="-1"/>
        </w:rPr>
        <w:t xml:space="preserve"> </w:t>
      </w:r>
      <w:r>
        <w:t>the</w:t>
      </w:r>
      <w:r>
        <w:rPr>
          <w:spacing w:val="-1"/>
        </w:rPr>
        <w:t xml:space="preserve"> </w:t>
      </w:r>
      <w:r>
        <w:t>NINR senior</w:t>
      </w:r>
      <w:r>
        <w:rPr>
          <w:spacing w:val="-1"/>
        </w:rPr>
        <w:t xml:space="preserve"> </w:t>
      </w:r>
      <w:r>
        <w:t>leadership</w:t>
      </w:r>
      <w:r>
        <w:rPr>
          <w:spacing w:val="-1"/>
        </w:rPr>
        <w:t xml:space="preserve"> </w:t>
      </w:r>
      <w:r>
        <w:t>team</w:t>
      </w:r>
      <w:r>
        <w:rPr>
          <w:spacing w:val="-2"/>
        </w:rPr>
        <w:t xml:space="preserve"> </w:t>
      </w:r>
      <w:r>
        <w:t>and reports</w:t>
      </w:r>
      <w:r>
        <w:rPr>
          <w:spacing w:val="-1"/>
        </w:rPr>
        <w:t xml:space="preserve"> </w:t>
      </w:r>
      <w:r>
        <w:t>directly</w:t>
      </w:r>
      <w:r>
        <w:rPr>
          <w:spacing w:val="-1"/>
        </w:rPr>
        <w:t xml:space="preserve"> </w:t>
      </w:r>
      <w:r>
        <w:t>to the</w:t>
      </w:r>
      <w:r>
        <w:rPr>
          <w:spacing w:val="-3"/>
        </w:rPr>
        <w:t xml:space="preserve"> </w:t>
      </w:r>
      <w:r>
        <w:t>NINR</w:t>
      </w:r>
      <w:r>
        <w:rPr>
          <w:spacing w:val="-2"/>
        </w:rPr>
        <w:t xml:space="preserve"> </w:t>
      </w:r>
      <w:r>
        <w:t>Director.</w:t>
      </w:r>
    </w:p>
    <w:p w14:paraId="011EC8F4" w14:textId="77777777" w:rsidR="002279D2" w:rsidRDefault="002279D2">
      <w:pPr>
        <w:pStyle w:val="BodyText"/>
      </w:pPr>
    </w:p>
    <w:p w14:paraId="150FDF3B" w14:textId="4C188392" w:rsidR="002279D2" w:rsidRDefault="00837DED">
      <w:pPr>
        <w:pStyle w:val="BodyText"/>
        <w:ind w:left="120" w:right="181"/>
      </w:pPr>
      <w:r>
        <w:rPr>
          <w:w w:val="105"/>
        </w:rPr>
        <w:t>The</w:t>
      </w:r>
      <w:r>
        <w:rPr>
          <w:spacing w:val="5"/>
          <w:w w:val="105"/>
        </w:rPr>
        <w:t xml:space="preserve"> </w:t>
      </w:r>
      <w:r>
        <w:rPr>
          <w:w w:val="105"/>
        </w:rPr>
        <w:t>DESP</w:t>
      </w:r>
      <w:r>
        <w:rPr>
          <w:spacing w:val="5"/>
          <w:w w:val="105"/>
        </w:rPr>
        <w:t xml:space="preserve"> </w:t>
      </w:r>
      <w:r>
        <w:rPr>
          <w:w w:val="105"/>
        </w:rPr>
        <w:t>Director</w:t>
      </w:r>
      <w:r>
        <w:rPr>
          <w:spacing w:val="3"/>
          <w:w w:val="105"/>
        </w:rPr>
        <w:t xml:space="preserve"> </w:t>
      </w:r>
      <w:r>
        <w:rPr>
          <w:w w:val="105"/>
        </w:rPr>
        <w:t>guides</w:t>
      </w:r>
      <w:r>
        <w:rPr>
          <w:spacing w:val="5"/>
          <w:w w:val="105"/>
        </w:rPr>
        <w:t xml:space="preserve"> </w:t>
      </w:r>
      <w:r>
        <w:rPr>
          <w:w w:val="105"/>
        </w:rPr>
        <w:t>the</w:t>
      </w:r>
      <w:r>
        <w:rPr>
          <w:spacing w:val="5"/>
          <w:w w:val="105"/>
        </w:rPr>
        <w:t xml:space="preserve"> </w:t>
      </w:r>
      <w:r>
        <w:rPr>
          <w:w w:val="105"/>
        </w:rPr>
        <w:t>direction</w:t>
      </w:r>
      <w:r>
        <w:rPr>
          <w:spacing w:val="4"/>
          <w:w w:val="105"/>
        </w:rPr>
        <w:t xml:space="preserve"> </w:t>
      </w:r>
      <w:r>
        <w:rPr>
          <w:w w:val="105"/>
        </w:rPr>
        <w:t>of</w:t>
      </w:r>
      <w:r>
        <w:rPr>
          <w:spacing w:val="5"/>
          <w:w w:val="105"/>
        </w:rPr>
        <w:t xml:space="preserve"> </w:t>
      </w:r>
      <w:r>
        <w:rPr>
          <w:w w:val="105"/>
        </w:rPr>
        <w:t>nursing</w:t>
      </w:r>
      <w:r>
        <w:rPr>
          <w:spacing w:val="5"/>
          <w:w w:val="105"/>
        </w:rPr>
        <w:t xml:space="preserve"> </w:t>
      </w:r>
      <w:r>
        <w:rPr>
          <w:w w:val="105"/>
        </w:rPr>
        <w:t>science</w:t>
      </w:r>
      <w:r>
        <w:rPr>
          <w:spacing w:val="4"/>
          <w:w w:val="105"/>
        </w:rPr>
        <w:t xml:space="preserve"> </w:t>
      </w:r>
      <w:r>
        <w:rPr>
          <w:w w:val="105"/>
        </w:rPr>
        <w:t>through</w:t>
      </w:r>
      <w:r>
        <w:rPr>
          <w:spacing w:val="6"/>
          <w:w w:val="105"/>
        </w:rPr>
        <w:t xml:space="preserve"> </w:t>
      </w:r>
      <w:r>
        <w:rPr>
          <w:w w:val="105"/>
        </w:rPr>
        <w:t>new</w:t>
      </w:r>
      <w:r>
        <w:rPr>
          <w:spacing w:val="5"/>
          <w:w w:val="105"/>
        </w:rPr>
        <w:t xml:space="preserve"> </w:t>
      </w:r>
      <w:r>
        <w:rPr>
          <w:w w:val="105"/>
        </w:rPr>
        <w:t>research</w:t>
      </w:r>
      <w:r>
        <w:rPr>
          <w:spacing w:val="1"/>
          <w:w w:val="105"/>
        </w:rPr>
        <w:t xml:space="preserve"> </w:t>
      </w:r>
      <w:r>
        <w:rPr>
          <w:w w:val="105"/>
        </w:rPr>
        <w:t>initiatives and managing research grant, cooperative agreement, and training programs</w:t>
      </w:r>
      <w:r>
        <w:rPr>
          <w:spacing w:val="1"/>
          <w:w w:val="105"/>
        </w:rPr>
        <w:t xml:space="preserve"> </w:t>
      </w:r>
      <w:r>
        <w:rPr>
          <w:w w:val="105"/>
        </w:rPr>
        <w:t>that support the mission of NINR. The DESP Director works closely with the NINR Director</w:t>
      </w:r>
      <w:r>
        <w:rPr>
          <w:spacing w:val="-62"/>
          <w:w w:val="105"/>
        </w:rPr>
        <w:t xml:space="preserve"> </w:t>
      </w:r>
      <w:r>
        <w:rPr>
          <w:w w:val="105"/>
        </w:rPr>
        <w:t>in shaping the direction of the Institute</w:t>
      </w:r>
      <w:r w:rsidR="009E67FF">
        <w:rPr>
          <w:w w:val="105"/>
        </w:rPr>
        <w:t xml:space="preserve"> as a whole</w:t>
      </w:r>
      <w:r>
        <w:rPr>
          <w:w w:val="105"/>
        </w:rPr>
        <w:t xml:space="preserve"> through strategic planning, priority setting, and</w:t>
      </w:r>
      <w:r>
        <w:rPr>
          <w:spacing w:val="1"/>
          <w:w w:val="105"/>
        </w:rPr>
        <w:t xml:space="preserve"> </w:t>
      </w:r>
      <w:r>
        <w:rPr>
          <w:w w:val="105"/>
        </w:rPr>
        <w:t>coordination of resources to implement these plans and priorities. This position offers a</w:t>
      </w:r>
      <w:r>
        <w:rPr>
          <w:spacing w:val="1"/>
          <w:w w:val="105"/>
        </w:rPr>
        <w:t xml:space="preserve"> </w:t>
      </w:r>
      <w:r>
        <w:rPr>
          <w:w w:val="105"/>
        </w:rPr>
        <w:t>unique leadership opportunity for an exceptional nurse scientist to have a national impact,</w:t>
      </w:r>
      <w:r>
        <w:rPr>
          <w:spacing w:val="1"/>
          <w:w w:val="105"/>
        </w:rPr>
        <w:t xml:space="preserve"> </w:t>
      </w:r>
      <w:r>
        <w:rPr>
          <w:w w:val="105"/>
        </w:rPr>
        <w:t>serving as the NINR's authoritative source on extramural scientific programs; management</w:t>
      </w:r>
      <w:r w:rsidR="009E67FF">
        <w:rPr>
          <w:w w:val="105"/>
        </w:rPr>
        <w:t xml:space="preserve"> </w:t>
      </w:r>
      <w:r>
        <w:rPr>
          <w:spacing w:val="-62"/>
          <w:w w:val="105"/>
        </w:rPr>
        <w:t xml:space="preserve"> </w:t>
      </w:r>
      <w:r>
        <w:rPr>
          <w:w w:val="105"/>
        </w:rPr>
        <w:t>of</w:t>
      </w:r>
      <w:r>
        <w:rPr>
          <w:spacing w:val="-2"/>
          <w:w w:val="105"/>
        </w:rPr>
        <w:t xml:space="preserve"> </w:t>
      </w:r>
      <w:r>
        <w:rPr>
          <w:w w:val="105"/>
        </w:rPr>
        <w:t>extramural</w:t>
      </w:r>
      <w:r>
        <w:rPr>
          <w:spacing w:val="-2"/>
          <w:w w:val="105"/>
        </w:rPr>
        <w:t xml:space="preserve"> </w:t>
      </w:r>
      <w:r>
        <w:rPr>
          <w:w w:val="105"/>
        </w:rPr>
        <w:t>research</w:t>
      </w:r>
      <w:r>
        <w:rPr>
          <w:spacing w:val="-3"/>
          <w:w w:val="105"/>
        </w:rPr>
        <w:t xml:space="preserve"> </w:t>
      </w:r>
      <w:r>
        <w:rPr>
          <w:w w:val="105"/>
        </w:rPr>
        <w:t>funding;</w:t>
      </w:r>
      <w:r>
        <w:rPr>
          <w:spacing w:val="-3"/>
          <w:w w:val="105"/>
        </w:rPr>
        <w:t xml:space="preserve"> </w:t>
      </w:r>
      <w:r>
        <w:rPr>
          <w:w w:val="105"/>
        </w:rPr>
        <w:t>management</w:t>
      </w:r>
      <w:r>
        <w:rPr>
          <w:spacing w:val="-2"/>
          <w:w w:val="105"/>
        </w:rPr>
        <w:t xml:space="preserve"> </w:t>
      </w:r>
      <w:r>
        <w:rPr>
          <w:w w:val="105"/>
        </w:rPr>
        <w:t>of</w:t>
      </w:r>
      <w:r>
        <w:rPr>
          <w:spacing w:val="-2"/>
          <w:w w:val="105"/>
        </w:rPr>
        <w:t xml:space="preserve"> </w:t>
      </w:r>
      <w:r>
        <w:rPr>
          <w:w w:val="105"/>
        </w:rPr>
        <w:t>the</w:t>
      </w:r>
      <w:r>
        <w:rPr>
          <w:spacing w:val="-3"/>
          <w:w w:val="105"/>
        </w:rPr>
        <w:t xml:space="preserve"> </w:t>
      </w:r>
      <w:r>
        <w:rPr>
          <w:w w:val="105"/>
        </w:rPr>
        <w:t>business</w:t>
      </w:r>
      <w:r>
        <w:rPr>
          <w:spacing w:val="-2"/>
          <w:w w:val="105"/>
        </w:rPr>
        <w:t xml:space="preserve"> </w:t>
      </w:r>
      <w:r>
        <w:rPr>
          <w:w w:val="105"/>
        </w:rPr>
        <w:t>and</w:t>
      </w:r>
      <w:r>
        <w:rPr>
          <w:spacing w:val="-2"/>
          <w:w w:val="105"/>
        </w:rPr>
        <w:t xml:space="preserve"> </w:t>
      </w:r>
      <w:r>
        <w:rPr>
          <w:w w:val="105"/>
        </w:rPr>
        <w:t>non-programmatic</w:t>
      </w:r>
      <w:r>
        <w:rPr>
          <w:spacing w:val="-2"/>
          <w:w w:val="105"/>
        </w:rPr>
        <w:t xml:space="preserve"> </w:t>
      </w:r>
      <w:r>
        <w:rPr>
          <w:w w:val="105"/>
        </w:rPr>
        <w:t>areas</w:t>
      </w:r>
      <w:r>
        <w:rPr>
          <w:spacing w:val="-61"/>
          <w:w w:val="105"/>
        </w:rPr>
        <w:t xml:space="preserve"> </w:t>
      </w:r>
      <w:r>
        <w:rPr>
          <w:w w:val="105"/>
        </w:rPr>
        <w:t>of grants administration; coordination and oversight of business-related activities</w:t>
      </w:r>
      <w:r>
        <w:rPr>
          <w:spacing w:val="1"/>
          <w:w w:val="105"/>
        </w:rPr>
        <w:t xml:space="preserve"> </w:t>
      </w:r>
      <w:r>
        <w:rPr>
          <w:w w:val="105"/>
        </w:rPr>
        <w:t>associated with the negotiation, award, and administration of grants and cooperative</w:t>
      </w:r>
      <w:r>
        <w:rPr>
          <w:spacing w:val="1"/>
          <w:w w:val="105"/>
        </w:rPr>
        <w:t xml:space="preserve"> </w:t>
      </w:r>
      <w:r>
        <w:rPr>
          <w:w w:val="105"/>
        </w:rPr>
        <w:t>agreements within NINR; and planning and execution of initial scientific and technical</w:t>
      </w:r>
      <w:r>
        <w:rPr>
          <w:spacing w:val="1"/>
          <w:w w:val="105"/>
        </w:rPr>
        <w:t xml:space="preserve"> </w:t>
      </w:r>
      <w:r>
        <w:rPr>
          <w:w w:val="105"/>
        </w:rPr>
        <w:t>reviews</w:t>
      </w:r>
      <w:r>
        <w:rPr>
          <w:spacing w:val="-1"/>
          <w:w w:val="105"/>
        </w:rPr>
        <w:t xml:space="preserve"> </w:t>
      </w:r>
      <w:r>
        <w:rPr>
          <w:w w:val="105"/>
        </w:rPr>
        <w:t>conducted</w:t>
      </w:r>
      <w:r>
        <w:rPr>
          <w:spacing w:val="-1"/>
          <w:w w:val="105"/>
        </w:rPr>
        <w:t xml:space="preserve"> </w:t>
      </w:r>
      <w:r>
        <w:rPr>
          <w:w w:val="105"/>
        </w:rPr>
        <w:t>within the</w:t>
      </w:r>
      <w:r>
        <w:rPr>
          <w:spacing w:val="-1"/>
          <w:w w:val="105"/>
        </w:rPr>
        <w:t xml:space="preserve"> </w:t>
      </w:r>
      <w:r>
        <w:rPr>
          <w:w w:val="105"/>
        </w:rPr>
        <w:t>NINR.</w:t>
      </w:r>
    </w:p>
    <w:p w14:paraId="1CF3A2D1" w14:textId="77777777" w:rsidR="002279D2" w:rsidRDefault="002279D2">
      <w:pPr>
        <w:pStyle w:val="BodyText"/>
        <w:spacing w:before="1"/>
      </w:pPr>
    </w:p>
    <w:p w14:paraId="49B9FCBC" w14:textId="09DF3052" w:rsidR="002279D2" w:rsidRDefault="00837DED">
      <w:pPr>
        <w:pStyle w:val="BodyText"/>
        <w:ind w:left="119" w:right="152"/>
      </w:pPr>
      <w:r>
        <w:rPr>
          <w:w w:val="105"/>
        </w:rPr>
        <w:t>The DESP Director has the authority to address and respond to issues that affect the</w:t>
      </w:r>
      <w:r>
        <w:rPr>
          <w:spacing w:val="1"/>
          <w:w w:val="105"/>
        </w:rPr>
        <w:t xml:space="preserve"> </w:t>
      </w:r>
      <w:r>
        <w:rPr>
          <w:w w:val="105"/>
        </w:rPr>
        <w:t>development, implementation, management, and review of NINR's extramural scientific</w:t>
      </w:r>
      <w:r>
        <w:rPr>
          <w:spacing w:val="1"/>
          <w:w w:val="105"/>
        </w:rPr>
        <w:t xml:space="preserve"> </w:t>
      </w:r>
      <w:r>
        <w:rPr>
          <w:w w:val="105"/>
        </w:rPr>
        <w:t>programs</w:t>
      </w:r>
      <w:r>
        <w:rPr>
          <w:spacing w:val="-2"/>
          <w:w w:val="105"/>
        </w:rPr>
        <w:t xml:space="preserve"> </w:t>
      </w:r>
      <w:r>
        <w:rPr>
          <w:w w:val="105"/>
        </w:rPr>
        <w:t>and</w:t>
      </w:r>
      <w:r>
        <w:rPr>
          <w:spacing w:val="-3"/>
          <w:w w:val="105"/>
        </w:rPr>
        <w:t xml:space="preserve"> </w:t>
      </w:r>
      <w:r>
        <w:rPr>
          <w:w w:val="105"/>
        </w:rPr>
        <w:t>activities,</w:t>
      </w:r>
      <w:r>
        <w:rPr>
          <w:spacing w:val="-2"/>
          <w:w w:val="105"/>
        </w:rPr>
        <w:t xml:space="preserve"> </w:t>
      </w:r>
      <w:r>
        <w:rPr>
          <w:w w:val="105"/>
        </w:rPr>
        <w:t>while</w:t>
      </w:r>
      <w:r>
        <w:rPr>
          <w:spacing w:val="-4"/>
          <w:w w:val="105"/>
        </w:rPr>
        <w:t xml:space="preserve"> </w:t>
      </w:r>
      <w:r>
        <w:rPr>
          <w:w w:val="105"/>
        </w:rPr>
        <w:t>successfully</w:t>
      </w:r>
      <w:r>
        <w:rPr>
          <w:spacing w:val="-3"/>
          <w:w w:val="105"/>
        </w:rPr>
        <w:t xml:space="preserve"> </w:t>
      </w:r>
      <w:r>
        <w:rPr>
          <w:w w:val="105"/>
        </w:rPr>
        <w:t>directing</w:t>
      </w:r>
      <w:r>
        <w:rPr>
          <w:spacing w:val="-3"/>
          <w:w w:val="105"/>
        </w:rPr>
        <w:t xml:space="preserve"> </w:t>
      </w:r>
      <w:r>
        <w:rPr>
          <w:w w:val="105"/>
        </w:rPr>
        <w:t>the</w:t>
      </w:r>
      <w:r>
        <w:rPr>
          <w:spacing w:val="-6"/>
          <w:w w:val="105"/>
        </w:rPr>
        <w:t xml:space="preserve"> </w:t>
      </w:r>
      <w:r>
        <w:rPr>
          <w:w w:val="105"/>
        </w:rPr>
        <w:t>DESP.</w:t>
      </w:r>
      <w:r>
        <w:rPr>
          <w:spacing w:val="-10"/>
          <w:w w:val="105"/>
        </w:rPr>
        <w:t xml:space="preserve"> </w:t>
      </w:r>
      <w:r>
        <w:rPr>
          <w:w w:val="105"/>
        </w:rPr>
        <w:t>The</w:t>
      </w:r>
      <w:r>
        <w:rPr>
          <w:spacing w:val="-7"/>
          <w:w w:val="105"/>
        </w:rPr>
        <w:t xml:space="preserve"> </w:t>
      </w:r>
      <w:r>
        <w:rPr>
          <w:w w:val="105"/>
        </w:rPr>
        <w:t>DESP</w:t>
      </w:r>
      <w:r>
        <w:rPr>
          <w:spacing w:val="-6"/>
          <w:w w:val="105"/>
        </w:rPr>
        <w:t xml:space="preserve"> </w:t>
      </w:r>
      <w:r>
        <w:rPr>
          <w:w w:val="105"/>
        </w:rPr>
        <w:t>Director</w:t>
      </w:r>
      <w:r>
        <w:rPr>
          <w:spacing w:val="-5"/>
          <w:w w:val="105"/>
        </w:rPr>
        <w:t xml:space="preserve"> </w:t>
      </w:r>
      <w:r>
        <w:rPr>
          <w:w w:val="105"/>
        </w:rPr>
        <w:t>has</w:t>
      </w:r>
      <w:r>
        <w:rPr>
          <w:spacing w:val="-2"/>
          <w:w w:val="105"/>
        </w:rPr>
        <w:t xml:space="preserve"> </w:t>
      </w:r>
      <w:r>
        <w:rPr>
          <w:w w:val="105"/>
        </w:rPr>
        <w:t>the</w:t>
      </w:r>
      <w:r>
        <w:rPr>
          <w:spacing w:val="-62"/>
          <w:w w:val="105"/>
        </w:rPr>
        <w:t xml:space="preserve"> </w:t>
      </w:r>
      <w:r>
        <w:rPr>
          <w:w w:val="105"/>
        </w:rPr>
        <w:t xml:space="preserve">opportunity to work collaboratively across the NIH, with other federal agencies, </w:t>
      </w:r>
      <w:r w:rsidR="00EE0F4B">
        <w:rPr>
          <w:w w:val="105"/>
        </w:rPr>
        <w:t xml:space="preserve">the National Advisory Council for Nursing Research, </w:t>
      </w:r>
      <w:r>
        <w:rPr>
          <w:w w:val="105"/>
        </w:rPr>
        <w:t>and with</w:t>
      </w:r>
      <w:r>
        <w:rPr>
          <w:spacing w:val="1"/>
          <w:w w:val="105"/>
        </w:rPr>
        <w:t xml:space="preserve"> </w:t>
      </w:r>
      <w:r>
        <w:rPr>
          <w:w w:val="105"/>
        </w:rPr>
        <w:t>key stakeholders and organizations to further the Institute's mission and priorities. The</w:t>
      </w:r>
      <w:r>
        <w:rPr>
          <w:spacing w:val="1"/>
          <w:w w:val="105"/>
        </w:rPr>
        <w:t xml:space="preserve"> </w:t>
      </w:r>
      <w:r>
        <w:rPr>
          <w:spacing w:val="-1"/>
          <w:w w:val="105"/>
        </w:rPr>
        <w:t xml:space="preserve">DESP Director represents the NINR's extramural </w:t>
      </w:r>
      <w:r>
        <w:rPr>
          <w:w w:val="105"/>
        </w:rPr>
        <w:t>program to the nursing science</w:t>
      </w:r>
      <w:r>
        <w:rPr>
          <w:spacing w:val="1"/>
          <w:w w:val="105"/>
        </w:rPr>
        <w:t xml:space="preserve"> </w:t>
      </w:r>
      <w:r>
        <w:rPr>
          <w:w w:val="105"/>
        </w:rPr>
        <w:t>community.</w:t>
      </w:r>
    </w:p>
    <w:p w14:paraId="7F21A175" w14:textId="77777777" w:rsidR="002279D2" w:rsidRDefault="002279D2">
      <w:pPr>
        <w:sectPr w:rsidR="002279D2">
          <w:type w:val="continuous"/>
          <w:pgSz w:w="12240" w:h="15840"/>
          <w:pgMar w:top="1440" w:right="1360" w:bottom="280" w:left="1320" w:header="720" w:footer="720" w:gutter="0"/>
          <w:cols w:space="720"/>
        </w:sectPr>
      </w:pPr>
    </w:p>
    <w:p w14:paraId="483BEFE7" w14:textId="77777777" w:rsidR="002279D2" w:rsidRDefault="00837DED">
      <w:pPr>
        <w:spacing w:before="80"/>
        <w:ind w:left="120" w:right="139"/>
        <w:rPr>
          <w:rFonts w:ascii="Arial-BoldItalicMT"/>
          <w:b/>
          <w:i/>
        </w:rPr>
      </w:pPr>
      <w:bookmarkStart w:id="1" w:name="We_are_looking_for_applicants_with_a_com"/>
      <w:bookmarkEnd w:id="1"/>
      <w:r>
        <w:rPr>
          <w:rFonts w:ascii="Arial-BoldItalicMT"/>
          <w:b/>
          <w:i/>
          <w:w w:val="105"/>
        </w:rPr>
        <w:lastRenderedPageBreak/>
        <w:t>We are looking for applicants with a commitment to scientific excellence and the</w:t>
      </w:r>
      <w:r>
        <w:rPr>
          <w:rFonts w:ascii="Arial-BoldItalicMT"/>
          <w:b/>
          <w:i/>
          <w:spacing w:val="1"/>
          <w:w w:val="105"/>
        </w:rPr>
        <w:t xml:space="preserve"> </w:t>
      </w:r>
      <w:r>
        <w:rPr>
          <w:rFonts w:ascii="Arial-BoldItalicMT"/>
          <w:b/>
          <w:i/>
          <w:w w:val="105"/>
        </w:rPr>
        <w:t>energy,</w:t>
      </w:r>
      <w:r>
        <w:rPr>
          <w:rFonts w:ascii="Arial-BoldItalicMT"/>
          <w:b/>
          <w:i/>
          <w:spacing w:val="-5"/>
          <w:w w:val="105"/>
        </w:rPr>
        <w:t xml:space="preserve"> </w:t>
      </w:r>
      <w:r>
        <w:rPr>
          <w:rFonts w:ascii="Arial-BoldItalicMT"/>
          <w:b/>
          <w:i/>
          <w:w w:val="105"/>
        </w:rPr>
        <w:t>enthusiasm,</w:t>
      </w:r>
      <w:r>
        <w:rPr>
          <w:rFonts w:ascii="Arial-BoldItalicMT"/>
          <w:b/>
          <w:i/>
          <w:spacing w:val="-3"/>
          <w:w w:val="105"/>
        </w:rPr>
        <w:t xml:space="preserve"> </w:t>
      </w:r>
      <w:r>
        <w:rPr>
          <w:rFonts w:ascii="Arial-BoldItalicMT"/>
          <w:b/>
          <w:i/>
          <w:w w:val="105"/>
        </w:rPr>
        <w:t>and</w:t>
      </w:r>
      <w:r>
        <w:rPr>
          <w:rFonts w:ascii="Arial-BoldItalicMT"/>
          <w:b/>
          <w:i/>
          <w:spacing w:val="-4"/>
          <w:w w:val="105"/>
        </w:rPr>
        <w:t xml:space="preserve"> </w:t>
      </w:r>
      <w:r>
        <w:rPr>
          <w:rFonts w:ascii="Arial-BoldItalicMT"/>
          <w:b/>
          <w:i/>
          <w:w w:val="105"/>
        </w:rPr>
        <w:t>innovative</w:t>
      </w:r>
      <w:r>
        <w:rPr>
          <w:rFonts w:ascii="Arial-BoldItalicMT"/>
          <w:b/>
          <w:i/>
          <w:spacing w:val="-3"/>
          <w:w w:val="105"/>
        </w:rPr>
        <w:t xml:space="preserve"> </w:t>
      </w:r>
      <w:r>
        <w:rPr>
          <w:rFonts w:ascii="Arial-BoldItalicMT"/>
          <w:b/>
          <w:i/>
          <w:w w:val="105"/>
        </w:rPr>
        <w:t>thinking</w:t>
      </w:r>
      <w:r>
        <w:rPr>
          <w:rFonts w:ascii="Arial-BoldItalicMT"/>
          <w:b/>
          <w:i/>
          <w:spacing w:val="-4"/>
          <w:w w:val="105"/>
        </w:rPr>
        <w:t xml:space="preserve"> </w:t>
      </w:r>
      <w:r>
        <w:rPr>
          <w:rFonts w:ascii="Arial-BoldItalicMT"/>
          <w:b/>
          <w:i/>
          <w:w w:val="105"/>
        </w:rPr>
        <w:t>necessary</w:t>
      </w:r>
      <w:r>
        <w:rPr>
          <w:rFonts w:ascii="Arial-BoldItalicMT"/>
          <w:b/>
          <w:i/>
          <w:spacing w:val="-3"/>
          <w:w w:val="105"/>
        </w:rPr>
        <w:t xml:space="preserve"> </w:t>
      </w:r>
      <w:r>
        <w:rPr>
          <w:rFonts w:ascii="Arial-BoldItalicMT"/>
          <w:b/>
          <w:i/>
          <w:w w:val="105"/>
        </w:rPr>
        <w:t>to</w:t>
      </w:r>
      <w:r>
        <w:rPr>
          <w:rFonts w:ascii="Arial-BoldItalicMT"/>
          <w:b/>
          <w:i/>
          <w:spacing w:val="-4"/>
          <w:w w:val="105"/>
        </w:rPr>
        <w:t xml:space="preserve"> </w:t>
      </w:r>
      <w:r>
        <w:rPr>
          <w:rFonts w:ascii="Arial-BoldItalicMT"/>
          <w:b/>
          <w:i/>
          <w:w w:val="105"/>
        </w:rPr>
        <w:t>lead</w:t>
      </w:r>
      <w:r>
        <w:rPr>
          <w:rFonts w:ascii="Arial-BoldItalicMT"/>
          <w:b/>
          <w:i/>
          <w:spacing w:val="-3"/>
          <w:w w:val="105"/>
        </w:rPr>
        <w:t xml:space="preserve"> </w:t>
      </w:r>
      <w:r>
        <w:rPr>
          <w:rFonts w:ascii="Arial-BoldItalicMT"/>
          <w:b/>
          <w:i/>
          <w:w w:val="105"/>
        </w:rPr>
        <w:t>within</w:t>
      </w:r>
      <w:r>
        <w:rPr>
          <w:rFonts w:ascii="Arial-BoldItalicMT"/>
          <w:b/>
          <w:i/>
          <w:spacing w:val="-4"/>
          <w:w w:val="105"/>
        </w:rPr>
        <w:t xml:space="preserve"> </w:t>
      </w:r>
      <w:r>
        <w:rPr>
          <w:rFonts w:ascii="Arial-BoldItalicMT"/>
          <w:b/>
          <w:i/>
          <w:w w:val="105"/>
        </w:rPr>
        <w:t>a</w:t>
      </w:r>
      <w:r>
        <w:rPr>
          <w:rFonts w:ascii="Arial-BoldItalicMT"/>
          <w:b/>
          <w:i/>
          <w:spacing w:val="-2"/>
          <w:w w:val="105"/>
        </w:rPr>
        <w:t xml:space="preserve"> </w:t>
      </w:r>
      <w:r>
        <w:rPr>
          <w:rFonts w:ascii="Arial-BoldItalicMT"/>
          <w:b/>
          <w:i/>
          <w:w w:val="105"/>
        </w:rPr>
        <w:t>dynamic</w:t>
      </w:r>
      <w:r>
        <w:rPr>
          <w:rFonts w:ascii="Arial-BoldItalicMT"/>
          <w:b/>
          <w:i/>
          <w:spacing w:val="-4"/>
          <w:w w:val="105"/>
        </w:rPr>
        <w:t xml:space="preserve"> </w:t>
      </w:r>
      <w:r>
        <w:rPr>
          <w:rFonts w:ascii="Arial-BoldItalicMT"/>
          <w:b/>
          <w:i/>
          <w:w w:val="105"/>
        </w:rPr>
        <w:t>and</w:t>
      </w:r>
      <w:r>
        <w:rPr>
          <w:rFonts w:ascii="Arial-BoldItalicMT"/>
          <w:b/>
          <w:i/>
          <w:spacing w:val="-61"/>
          <w:w w:val="105"/>
        </w:rPr>
        <w:t xml:space="preserve"> </w:t>
      </w:r>
      <w:r>
        <w:rPr>
          <w:rFonts w:ascii="Arial-BoldItalicMT"/>
          <w:b/>
          <w:i/>
          <w:w w:val="105"/>
        </w:rPr>
        <w:t>diverse organization.</w:t>
      </w:r>
    </w:p>
    <w:p w14:paraId="3E6F480F" w14:textId="77777777" w:rsidR="002279D2" w:rsidRDefault="002279D2">
      <w:pPr>
        <w:pStyle w:val="BodyText"/>
        <w:spacing w:before="11"/>
        <w:rPr>
          <w:rFonts w:ascii="Arial-BoldItalicMT"/>
          <w:b/>
          <w:i/>
          <w:sz w:val="21"/>
        </w:rPr>
      </w:pPr>
    </w:p>
    <w:p w14:paraId="4E2C4ACE" w14:textId="2743322B" w:rsidR="002279D2" w:rsidRDefault="00837DED">
      <w:pPr>
        <w:pStyle w:val="BodyText"/>
        <w:ind w:left="120" w:right="138"/>
      </w:pPr>
      <w:r>
        <w:t>Applicants should be a nurse with a Ph.D. in a relevant field, be a strong scientist who has a</w:t>
      </w:r>
      <w:r>
        <w:rPr>
          <w:spacing w:val="1"/>
        </w:rPr>
        <w:t xml:space="preserve"> </w:t>
      </w:r>
      <w:r>
        <w:t>proven track record in research to improve health outcomes and address health disparities, and</w:t>
      </w:r>
      <w:r>
        <w:rPr>
          <w:spacing w:val="-59"/>
        </w:rPr>
        <w:t xml:space="preserve"> </w:t>
      </w:r>
      <w:r>
        <w:t xml:space="preserve">demonstrate a passion for research that integrates </w:t>
      </w:r>
      <w:r w:rsidR="009E67FF">
        <w:t xml:space="preserve">health determinants </w:t>
      </w:r>
      <w:r>
        <w:t xml:space="preserve">at multiple levels, from the </w:t>
      </w:r>
      <w:proofErr w:type="gramStart"/>
      <w:r>
        <w:t>molecular</w:t>
      </w:r>
      <w:r w:rsidR="009E67FF">
        <w:t xml:space="preserve"> </w:t>
      </w:r>
      <w:r>
        <w:rPr>
          <w:spacing w:val="-59"/>
        </w:rPr>
        <w:t xml:space="preserve"> </w:t>
      </w:r>
      <w:r>
        <w:t>to</w:t>
      </w:r>
      <w:proofErr w:type="gramEnd"/>
      <w:r>
        <w:t xml:space="preserve"> the macro, and informs nursing practice and policy change. Applicants should have</w:t>
      </w:r>
      <w:r>
        <w:rPr>
          <w:spacing w:val="1"/>
        </w:rPr>
        <w:t xml:space="preserve"> </w:t>
      </w:r>
      <w:r>
        <w:t>leadership experience and well-honed administrative skills. Applicants should be a strong</w:t>
      </w:r>
      <w:r>
        <w:rPr>
          <w:spacing w:val="1"/>
        </w:rPr>
        <w:t xml:space="preserve"> </w:t>
      </w:r>
      <w:r>
        <w:t>communicator with the ability to work collaboratively to solve problems and make informed</w:t>
      </w:r>
      <w:r>
        <w:rPr>
          <w:spacing w:val="1"/>
        </w:rPr>
        <w:t xml:space="preserve"> </w:t>
      </w:r>
      <w:r>
        <w:t>decisions. A diverse pool of applicants is sought, so qualified individuals from all backgrounds</w:t>
      </w:r>
      <w:r>
        <w:rPr>
          <w:spacing w:val="1"/>
        </w:rPr>
        <w:t xml:space="preserve"> </w:t>
      </w:r>
      <w:r>
        <w:t>are</w:t>
      </w:r>
      <w:r>
        <w:rPr>
          <w:spacing w:val="-1"/>
        </w:rPr>
        <w:t xml:space="preserve"> </w:t>
      </w:r>
      <w:r>
        <w:t>strongly</w:t>
      </w:r>
      <w:r>
        <w:rPr>
          <w:spacing w:val="-1"/>
        </w:rPr>
        <w:t xml:space="preserve"> </w:t>
      </w:r>
      <w:r>
        <w:t>encouraged</w:t>
      </w:r>
      <w:r>
        <w:rPr>
          <w:spacing w:val="-2"/>
        </w:rPr>
        <w:t xml:space="preserve"> </w:t>
      </w:r>
      <w:r>
        <w:t>to apply.</w:t>
      </w:r>
    </w:p>
    <w:p w14:paraId="143E9522" w14:textId="77777777" w:rsidR="002279D2" w:rsidRDefault="002279D2">
      <w:pPr>
        <w:pStyle w:val="BodyText"/>
        <w:spacing w:before="11"/>
        <w:rPr>
          <w:sz w:val="21"/>
        </w:rPr>
      </w:pPr>
    </w:p>
    <w:p w14:paraId="3FEBFA17" w14:textId="66F43AD0" w:rsidR="002279D2" w:rsidRDefault="00837DED">
      <w:pPr>
        <w:pStyle w:val="BodyText"/>
        <w:ind w:left="120" w:right="139"/>
      </w:pPr>
      <w:r>
        <w:t>The DESP Director will be appointed at a salary commensurate with his/her/their qualifications</w:t>
      </w:r>
      <w:r>
        <w:rPr>
          <w:spacing w:val="-59"/>
        </w:rPr>
        <w:t xml:space="preserve"> </w:t>
      </w:r>
      <w:r>
        <w:t>and experience. Full federal benefits, including leave, health and life insurance, long term care</w:t>
      </w:r>
      <w:r>
        <w:rPr>
          <w:spacing w:val="-59"/>
        </w:rPr>
        <w:t xml:space="preserve"> </w:t>
      </w:r>
      <w:r>
        <w:t>insurance, retirement, and savings plan (401K equivalent) will be provided. The NIH inspires</w:t>
      </w:r>
      <w:r>
        <w:rPr>
          <w:spacing w:val="1"/>
        </w:rPr>
        <w:t xml:space="preserve"> </w:t>
      </w:r>
      <w:r>
        <w:t>public confidence in our science by maintaining high ethical principles. NIH employees are</w:t>
      </w:r>
      <w:r>
        <w:rPr>
          <w:spacing w:val="1"/>
        </w:rPr>
        <w:t xml:space="preserve"> </w:t>
      </w:r>
      <w:r>
        <w:t>subject to federal government-wide regulations and statutes as well as agency-specific</w:t>
      </w:r>
      <w:r>
        <w:rPr>
          <w:spacing w:val="1"/>
        </w:rPr>
        <w:t xml:space="preserve"> </w:t>
      </w:r>
      <w:r>
        <w:t xml:space="preserve">regulations described at </w:t>
      </w:r>
      <w:hyperlink r:id="rId5">
        <w:r>
          <w:rPr>
            <w:color w:val="0000FF"/>
            <w:u w:val="single" w:color="0000FF"/>
          </w:rPr>
          <w:t>the NIH Ethics Website</w:t>
        </w:r>
      </w:hyperlink>
      <w:r>
        <w:t>. We encourage you to review this information.</w:t>
      </w:r>
      <w:r>
        <w:rPr>
          <w:spacing w:val="-59"/>
        </w:rPr>
        <w:t xml:space="preserve"> </w:t>
      </w:r>
      <w:r>
        <w:t>The</w:t>
      </w:r>
      <w:r>
        <w:rPr>
          <w:spacing w:val="-2"/>
        </w:rPr>
        <w:t xml:space="preserve"> </w:t>
      </w:r>
      <w:r>
        <w:t>position</w:t>
      </w:r>
      <w:r>
        <w:rPr>
          <w:spacing w:val="-3"/>
        </w:rPr>
        <w:t xml:space="preserve"> </w:t>
      </w:r>
      <w:r>
        <w:t>is</w:t>
      </w:r>
      <w:r>
        <w:rPr>
          <w:spacing w:val="-2"/>
        </w:rPr>
        <w:t xml:space="preserve"> </w:t>
      </w:r>
      <w:r>
        <w:t>subject</w:t>
      </w:r>
      <w:r>
        <w:rPr>
          <w:spacing w:val="-1"/>
        </w:rPr>
        <w:t xml:space="preserve"> </w:t>
      </w:r>
      <w:r>
        <w:t>to</w:t>
      </w:r>
      <w:r>
        <w:rPr>
          <w:spacing w:val="-3"/>
        </w:rPr>
        <w:t xml:space="preserve"> </w:t>
      </w:r>
      <w:r>
        <w:t>a</w:t>
      </w:r>
      <w:r>
        <w:rPr>
          <w:spacing w:val="-2"/>
        </w:rPr>
        <w:t xml:space="preserve"> </w:t>
      </w:r>
      <w:r>
        <w:t>background</w:t>
      </w:r>
      <w:r>
        <w:rPr>
          <w:spacing w:val="-2"/>
        </w:rPr>
        <w:t xml:space="preserve"> </w:t>
      </w:r>
      <w:r>
        <w:t>investigation</w:t>
      </w:r>
      <w:r>
        <w:rPr>
          <w:spacing w:val="-1"/>
        </w:rPr>
        <w:t xml:space="preserve"> </w:t>
      </w:r>
      <w:r>
        <w:t>and</w:t>
      </w:r>
      <w:r>
        <w:rPr>
          <w:spacing w:val="-2"/>
        </w:rPr>
        <w:t xml:space="preserve"> </w:t>
      </w:r>
      <w:r>
        <w:t>requires</w:t>
      </w:r>
      <w:r>
        <w:rPr>
          <w:spacing w:val="-2"/>
        </w:rPr>
        <w:t xml:space="preserve"> </w:t>
      </w:r>
      <w:r>
        <w:t>the</w:t>
      </w:r>
      <w:r>
        <w:rPr>
          <w:spacing w:val="-2"/>
        </w:rPr>
        <w:t xml:space="preserve"> </w:t>
      </w:r>
      <w:r>
        <w:t>incumbent</w:t>
      </w:r>
      <w:r>
        <w:rPr>
          <w:spacing w:val="-1"/>
        </w:rPr>
        <w:t xml:space="preserve"> </w:t>
      </w:r>
      <w:r>
        <w:t>to</w:t>
      </w:r>
      <w:r>
        <w:rPr>
          <w:spacing w:val="-2"/>
        </w:rPr>
        <w:t xml:space="preserve"> </w:t>
      </w:r>
      <w:r>
        <w:t>complete</w:t>
      </w:r>
      <w:r>
        <w:rPr>
          <w:spacing w:val="-2"/>
        </w:rPr>
        <w:t xml:space="preserve"> </w:t>
      </w:r>
      <w:r>
        <w:t>a</w:t>
      </w:r>
      <w:r>
        <w:rPr>
          <w:spacing w:val="-58"/>
        </w:rPr>
        <w:t xml:space="preserve"> </w:t>
      </w:r>
      <w:r>
        <w:t>detailed</w:t>
      </w:r>
      <w:r>
        <w:rPr>
          <w:spacing w:val="-1"/>
        </w:rPr>
        <w:t xml:space="preserve"> </w:t>
      </w:r>
      <w:r>
        <w:t>public</w:t>
      </w:r>
      <w:r>
        <w:rPr>
          <w:spacing w:val="-1"/>
        </w:rPr>
        <w:t xml:space="preserve"> </w:t>
      </w:r>
      <w:r>
        <w:t>financial</w:t>
      </w:r>
      <w:r>
        <w:rPr>
          <w:spacing w:val="-2"/>
        </w:rPr>
        <w:t xml:space="preserve"> </w:t>
      </w:r>
      <w:r>
        <w:t>disclosure</w:t>
      </w:r>
      <w:r>
        <w:rPr>
          <w:spacing w:val="-1"/>
        </w:rPr>
        <w:t xml:space="preserve"> </w:t>
      </w:r>
      <w:r>
        <w:t>report</w:t>
      </w:r>
      <w:r>
        <w:rPr>
          <w:spacing w:val="-1"/>
        </w:rPr>
        <w:t xml:space="preserve"> </w:t>
      </w:r>
      <w:r>
        <w:t>prior</w:t>
      </w:r>
      <w:r>
        <w:rPr>
          <w:spacing w:val="-1"/>
        </w:rPr>
        <w:t xml:space="preserve"> </w:t>
      </w:r>
      <w:r>
        <w:t>to</w:t>
      </w:r>
      <w:r>
        <w:rPr>
          <w:spacing w:val="-1"/>
        </w:rPr>
        <w:t xml:space="preserve"> </w:t>
      </w:r>
      <w:r>
        <w:t>the</w:t>
      </w:r>
      <w:r>
        <w:rPr>
          <w:spacing w:val="-1"/>
        </w:rPr>
        <w:t xml:space="preserve"> </w:t>
      </w:r>
      <w:r>
        <w:t>effective</w:t>
      </w:r>
      <w:r>
        <w:rPr>
          <w:spacing w:val="-1"/>
        </w:rPr>
        <w:t xml:space="preserve"> </w:t>
      </w:r>
      <w:r>
        <w:t>date</w:t>
      </w:r>
      <w:r>
        <w:rPr>
          <w:spacing w:val="-1"/>
        </w:rPr>
        <w:t xml:space="preserve"> </w:t>
      </w:r>
      <w:r>
        <w:t>of</w:t>
      </w:r>
      <w:r>
        <w:rPr>
          <w:spacing w:val="-1"/>
        </w:rPr>
        <w:t xml:space="preserve"> </w:t>
      </w:r>
      <w:r>
        <w:t>the</w:t>
      </w:r>
      <w:r>
        <w:rPr>
          <w:spacing w:val="-1"/>
        </w:rPr>
        <w:t xml:space="preserve"> </w:t>
      </w:r>
      <w:r>
        <w:t>appointment.</w:t>
      </w:r>
    </w:p>
    <w:p w14:paraId="5AE61BCC" w14:textId="77777777" w:rsidR="002279D2" w:rsidRDefault="002279D2">
      <w:pPr>
        <w:pStyle w:val="BodyText"/>
        <w:spacing w:before="1"/>
      </w:pPr>
    </w:p>
    <w:p w14:paraId="48C539F9" w14:textId="638B5CE1" w:rsidR="002279D2" w:rsidRDefault="00837DED">
      <w:pPr>
        <w:pStyle w:val="BodyText"/>
        <w:ind w:left="119" w:right="152"/>
      </w:pPr>
      <w:r>
        <w:t>Applicants must submit a 2-page statement addressing qualifications and interest in the</w:t>
      </w:r>
      <w:r>
        <w:rPr>
          <w:spacing w:val="1"/>
        </w:rPr>
        <w:t xml:space="preserve"> </w:t>
      </w:r>
      <w:r>
        <w:t xml:space="preserve">position; </w:t>
      </w:r>
      <w:r w:rsidR="00EE0F4B">
        <w:t xml:space="preserve">1-page statement of vision for the position; </w:t>
      </w:r>
      <w:r>
        <w:t>curriculum vita; and full contact information for five references. A description of</w:t>
      </w:r>
      <w:r>
        <w:rPr>
          <w:spacing w:val="1"/>
        </w:rPr>
        <w:t xml:space="preserve"> </w:t>
      </w:r>
      <w:r>
        <w:t>mentoring and outreach activities, especially those involving women and persons from</w:t>
      </w:r>
      <w:r>
        <w:rPr>
          <w:spacing w:val="1"/>
        </w:rPr>
        <w:t xml:space="preserve"> </w:t>
      </w:r>
      <w:r>
        <w:t>racial/ethnic</w:t>
      </w:r>
      <w:r>
        <w:rPr>
          <w:spacing w:val="-3"/>
        </w:rPr>
        <w:t xml:space="preserve"> </w:t>
      </w:r>
      <w:r>
        <w:t>or</w:t>
      </w:r>
      <w:r>
        <w:rPr>
          <w:spacing w:val="-2"/>
        </w:rPr>
        <w:t xml:space="preserve"> </w:t>
      </w:r>
      <w:r>
        <w:t>other</w:t>
      </w:r>
      <w:r>
        <w:rPr>
          <w:spacing w:val="-2"/>
        </w:rPr>
        <w:t xml:space="preserve"> </w:t>
      </w:r>
      <w:r>
        <w:t>groups</w:t>
      </w:r>
      <w:r>
        <w:rPr>
          <w:spacing w:val="-1"/>
        </w:rPr>
        <w:t xml:space="preserve"> </w:t>
      </w:r>
      <w:r>
        <w:t>that</w:t>
      </w:r>
      <w:r>
        <w:rPr>
          <w:spacing w:val="-2"/>
        </w:rPr>
        <w:t xml:space="preserve"> </w:t>
      </w:r>
      <w:r>
        <w:t>are</w:t>
      </w:r>
      <w:r>
        <w:rPr>
          <w:spacing w:val="-3"/>
        </w:rPr>
        <w:t xml:space="preserve"> </w:t>
      </w:r>
      <w:r>
        <w:t>underrepresented</w:t>
      </w:r>
      <w:r>
        <w:rPr>
          <w:spacing w:val="-2"/>
        </w:rPr>
        <w:t xml:space="preserve"> </w:t>
      </w:r>
      <w:r>
        <w:t>in</w:t>
      </w:r>
      <w:r>
        <w:rPr>
          <w:spacing w:val="-1"/>
        </w:rPr>
        <w:t xml:space="preserve"> </w:t>
      </w:r>
      <w:r>
        <w:t>biomedical</w:t>
      </w:r>
      <w:r>
        <w:rPr>
          <w:spacing w:val="-2"/>
        </w:rPr>
        <w:t xml:space="preserve"> </w:t>
      </w:r>
      <w:r>
        <w:t>research,</w:t>
      </w:r>
      <w:r>
        <w:rPr>
          <w:spacing w:val="-2"/>
        </w:rPr>
        <w:t xml:space="preserve"> </w:t>
      </w:r>
      <w:r>
        <w:t>should</w:t>
      </w:r>
      <w:r>
        <w:rPr>
          <w:spacing w:val="-1"/>
        </w:rPr>
        <w:t xml:space="preserve"> </w:t>
      </w:r>
      <w:r>
        <w:t>be</w:t>
      </w:r>
      <w:r>
        <w:rPr>
          <w:spacing w:val="-59"/>
        </w:rPr>
        <w:t xml:space="preserve"> </w:t>
      </w:r>
      <w:r>
        <w:t>included</w:t>
      </w:r>
      <w:r>
        <w:rPr>
          <w:spacing w:val="-1"/>
        </w:rPr>
        <w:t xml:space="preserve"> </w:t>
      </w:r>
      <w:r>
        <w:t>in</w:t>
      </w:r>
      <w:r>
        <w:rPr>
          <w:spacing w:val="-1"/>
        </w:rPr>
        <w:t xml:space="preserve"> </w:t>
      </w:r>
      <w:r>
        <w:t>the statement or curriculum</w:t>
      </w:r>
      <w:r>
        <w:rPr>
          <w:spacing w:val="-1"/>
        </w:rPr>
        <w:t xml:space="preserve"> </w:t>
      </w:r>
      <w:r>
        <w:t>vita.</w:t>
      </w:r>
    </w:p>
    <w:p w14:paraId="514DEFA1" w14:textId="77777777" w:rsidR="002279D2" w:rsidRDefault="002279D2">
      <w:pPr>
        <w:pStyle w:val="BodyText"/>
      </w:pPr>
    </w:p>
    <w:p w14:paraId="35EEDC17" w14:textId="42C6F5B1" w:rsidR="002279D2" w:rsidRDefault="00837DED">
      <w:pPr>
        <w:pStyle w:val="BodyText"/>
        <w:ind w:left="120" w:right="139"/>
      </w:pPr>
      <w:r>
        <w:t>You</w:t>
      </w:r>
      <w:r>
        <w:rPr>
          <w:spacing w:val="-2"/>
        </w:rPr>
        <w:t xml:space="preserve"> </w:t>
      </w:r>
      <w:r>
        <w:t>may</w:t>
      </w:r>
      <w:r>
        <w:rPr>
          <w:spacing w:val="-2"/>
        </w:rPr>
        <w:t xml:space="preserve"> </w:t>
      </w:r>
      <w:r>
        <w:t>contact</w:t>
      </w:r>
      <w:r>
        <w:rPr>
          <w:spacing w:val="-2"/>
        </w:rPr>
        <w:t xml:space="preserve"> </w:t>
      </w:r>
      <w:r>
        <w:t>Dr.</w:t>
      </w:r>
      <w:r>
        <w:rPr>
          <w:spacing w:val="-2"/>
        </w:rPr>
        <w:t xml:space="preserve"> </w:t>
      </w:r>
      <w:r>
        <w:t>Gwen</w:t>
      </w:r>
      <w:r>
        <w:rPr>
          <w:spacing w:val="-2"/>
        </w:rPr>
        <w:t xml:space="preserve"> </w:t>
      </w:r>
      <w:proofErr w:type="spellStart"/>
      <w:r>
        <w:t>Collman</w:t>
      </w:r>
      <w:proofErr w:type="spellEnd"/>
      <w:r>
        <w:rPr>
          <w:spacing w:val="-1"/>
        </w:rPr>
        <w:t xml:space="preserve"> </w:t>
      </w:r>
      <w:r>
        <w:t>with</w:t>
      </w:r>
      <w:r>
        <w:rPr>
          <w:spacing w:val="-2"/>
        </w:rPr>
        <w:t xml:space="preserve"> </w:t>
      </w:r>
      <w:r>
        <w:t>questions</w:t>
      </w:r>
      <w:r>
        <w:rPr>
          <w:spacing w:val="-2"/>
        </w:rPr>
        <w:t xml:space="preserve"> </w:t>
      </w:r>
      <w:r>
        <w:t>and</w:t>
      </w:r>
      <w:r>
        <w:rPr>
          <w:spacing w:val="-2"/>
        </w:rPr>
        <w:t xml:space="preserve"> </w:t>
      </w:r>
      <w:r>
        <w:t>for</w:t>
      </w:r>
      <w:r>
        <w:rPr>
          <w:spacing w:val="-2"/>
        </w:rPr>
        <w:t xml:space="preserve"> </w:t>
      </w:r>
      <w:r>
        <w:t>more</w:t>
      </w:r>
      <w:r>
        <w:rPr>
          <w:spacing w:val="-2"/>
        </w:rPr>
        <w:t xml:space="preserve"> </w:t>
      </w:r>
      <w:r>
        <w:t>information</w:t>
      </w:r>
      <w:r>
        <w:rPr>
          <w:spacing w:val="-1"/>
        </w:rPr>
        <w:t xml:space="preserve"> </w:t>
      </w:r>
      <w:r>
        <w:t>about</w:t>
      </w:r>
      <w:r>
        <w:rPr>
          <w:spacing w:val="-2"/>
        </w:rPr>
        <w:t xml:space="preserve"> </w:t>
      </w:r>
      <w:r>
        <w:t>this</w:t>
      </w:r>
      <w:r>
        <w:rPr>
          <w:spacing w:val="-2"/>
        </w:rPr>
        <w:t xml:space="preserve"> </w:t>
      </w:r>
      <w:r>
        <w:t>vacancy</w:t>
      </w:r>
      <w:r>
        <w:rPr>
          <w:spacing w:val="-58"/>
        </w:rPr>
        <w:t xml:space="preserve"> </w:t>
      </w:r>
      <w:r>
        <w:t>at</w:t>
      </w:r>
      <w:r>
        <w:rPr>
          <w:spacing w:val="-1"/>
        </w:rPr>
        <w:t xml:space="preserve"> </w:t>
      </w:r>
      <w:hyperlink r:id="rId6" w:history="1">
        <w:r w:rsidR="00BC0981" w:rsidRPr="002951B4">
          <w:rPr>
            <w:rStyle w:val="Hyperlink"/>
          </w:rPr>
          <w:t>ninrrecruitment@mail.nih.gov.</w:t>
        </w:r>
      </w:hyperlink>
    </w:p>
    <w:p w14:paraId="277E27B6" w14:textId="77777777" w:rsidR="002279D2" w:rsidRDefault="002279D2">
      <w:pPr>
        <w:pStyle w:val="BodyText"/>
        <w:spacing w:before="10"/>
        <w:rPr>
          <w:sz w:val="13"/>
        </w:rPr>
      </w:pPr>
    </w:p>
    <w:p w14:paraId="38A89516" w14:textId="77777777" w:rsidR="004C667E" w:rsidRDefault="004C667E" w:rsidP="004C667E">
      <w:pPr>
        <w:ind w:right="1742"/>
        <w:rPr>
          <w:b/>
        </w:rPr>
      </w:pPr>
    </w:p>
    <w:p w14:paraId="2DC6444A" w14:textId="7E6560FB" w:rsidR="002279D2" w:rsidRDefault="00837DED" w:rsidP="00FC6798">
      <w:pPr>
        <w:jc w:val="center"/>
        <w:rPr>
          <w:b/>
        </w:rPr>
      </w:pPr>
      <w:r>
        <w:rPr>
          <w:b/>
        </w:rPr>
        <w:t>Applications</w:t>
      </w:r>
      <w:r>
        <w:rPr>
          <w:b/>
          <w:spacing w:val="-1"/>
        </w:rPr>
        <w:t xml:space="preserve"> </w:t>
      </w:r>
      <w:r>
        <w:rPr>
          <w:b/>
        </w:rPr>
        <w:t>will</w:t>
      </w:r>
      <w:r>
        <w:rPr>
          <w:b/>
          <w:spacing w:val="-2"/>
        </w:rPr>
        <w:t xml:space="preserve"> </w:t>
      </w:r>
      <w:r>
        <w:rPr>
          <w:b/>
        </w:rPr>
        <w:t>be</w:t>
      </w:r>
      <w:r>
        <w:rPr>
          <w:b/>
          <w:spacing w:val="-1"/>
        </w:rPr>
        <w:t xml:space="preserve"> </w:t>
      </w:r>
      <w:r>
        <w:rPr>
          <w:b/>
        </w:rPr>
        <w:t>accepted</w:t>
      </w:r>
      <w:r>
        <w:rPr>
          <w:b/>
          <w:spacing w:val="-1"/>
        </w:rPr>
        <w:t xml:space="preserve"> </w:t>
      </w:r>
      <w:r>
        <w:rPr>
          <w:b/>
        </w:rPr>
        <w:t>until</w:t>
      </w:r>
      <w:r>
        <w:rPr>
          <w:b/>
          <w:spacing w:val="-1"/>
        </w:rPr>
        <w:t xml:space="preserve"> </w:t>
      </w:r>
      <w:r>
        <w:rPr>
          <w:b/>
        </w:rPr>
        <w:t>the</w:t>
      </w:r>
      <w:r>
        <w:rPr>
          <w:b/>
          <w:spacing w:val="-1"/>
        </w:rPr>
        <w:t xml:space="preserve"> </w:t>
      </w:r>
      <w:r>
        <w:rPr>
          <w:b/>
        </w:rPr>
        <w:t>position</w:t>
      </w:r>
      <w:r>
        <w:rPr>
          <w:b/>
          <w:spacing w:val="-1"/>
        </w:rPr>
        <w:t xml:space="preserve"> </w:t>
      </w:r>
      <w:r>
        <w:rPr>
          <w:b/>
        </w:rPr>
        <w:t>is</w:t>
      </w:r>
      <w:r>
        <w:rPr>
          <w:b/>
          <w:spacing w:val="-1"/>
        </w:rPr>
        <w:t xml:space="preserve"> </w:t>
      </w:r>
      <w:r>
        <w:rPr>
          <w:b/>
        </w:rPr>
        <w:t>filled.</w:t>
      </w:r>
    </w:p>
    <w:p w14:paraId="2A369630" w14:textId="77777777" w:rsidR="002279D2" w:rsidRDefault="002279D2">
      <w:pPr>
        <w:pStyle w:val="BodyText"/>
        <w:rPr>
          <w:b/>
        </w:rPr>
      </w:pPr>
    </w:p>
    <w:p w14:paraId="0B2C77F9" w14:textId="77777777" w:rsidR="002279D2" w:rsidRDefault="00837DED">
      <w:pPr>
        <w:spacing w:before="1"/>
        <w:ind w:left="2386" w:right="2347"/>
        <w:jc w:val="center"/>
        <w:rPr>
          <w:b/>
        </w:rPr>
      </w:pPr>
      <w:r>
        <w:rPr>
          <w:b/>
        </w:rPr>
        <w:t>PLEASE REMIT</w:t>
      </w:r>
      <w:r>
        <w:rPr>
          <w:b/>
          <w:spacing w:val="-2"/>
        </w:rPr>
        <w:t xml:space="preserve"> </w:t>
      </w:r>
      <w:r>
        <w:rPr>
          <w:b/>
        </w:rPr>
        <w:t>TO:</w:t>
      </w:r>
    </w:p>
    <w:p w14:paraId="44033857" w14:textId="77777777" w:rsidR="002279D2" w:rsidRDefault="002279D2">
      <w:pPr>
        <w:pStyle w:val="BodyText"/>
        <w:spacing w:before="10"/>
        <w:rPr>
          <w:b/>
          <w:sz w:val="21"/>
        </w:rPr>
      </w:pPr>
    </w:p>
    <w:p w14:paraId="4A9533E0" w14:textId="749C22FE" w:rsidR="002279D2" w:rsidRDefault="00837DED">
      <w:pPr>
        <w:ind w:left="1784" w:right="1743"/>
        <w:jc w:val="center"/>
        <w:rPr>
          <w:b/>
          <w:color w:val="0660AA"/>
          <w:u w:val="thick" w:color="0660AA"/>
        </w:rPr>
      </w:pPr>
      <w:r>
        <w:rPr>
          <w:b/>
        </w:rPr>
        <w:t xml:space="preserve">Dr. Gwen </w:t>
      </w:r>
      <w:proofErr w:type="spellStart"/>
      <w:r>
        <w:rPr>
          <w:b/>
        </w:rPr>
        <w:t>Collman</w:t>
      </w:r>
      <w:proofErr w:type="spellEnd"/>
      <w:r>
        <w:rPr>
          <w:b/>
        </w:rPr>
        <w:t>, PhD, DESP Search Committee Chair</w:t>
      </w:r>
      <w:r>
        <w:rPr>
          <w:b/>
          <w:spacing w:val="-59"/>
        </w:rPr>
        <w:t xml:space="preserve"> </w:t>
      </w:r>
      <w:hyperlink r:id="rId7">
        <w:r>
          <w:rPr>
            <w:b/>
            <w:color w:val="0660AA"/>
            <w:u w:val="thick" w:color="0660AA"/>
          </w:rPr>
          <w:t>ninrrecruitment@mail.nih</w:t>
        </w:r>
        <w:r>
          <w:rPr>
            <w:b/>
            <w:color w:val="2175B3"/>
            <w:u w:val="thick" w:color="0660AA"/>
          </w:rPr>
          <w:t>.</w:t>
        </w:r>
        <w:r>
          <w:rPr>
            <w:b/>
            <w:color w:val="0660AA"/>
            <w:u w:val="thick" w:color="0660AA"/>
          </w:rPr>
          <w:t>gov</w:t>
        </w:r>
      </w:hyperlink>
    </w:p>
    <w:p w14:paraId="24F77139" w14:textId="43BF675B" w:rsidR="0001334D" w:rsidRDefault="0001334D">
      <w:pPr>
        <w:ind w:left="1784" w:right="1743"/>
        <w:jc w:val="center"/>
        <w:rPr>
          <w:b/>
        </w:rPr>
      </w:pPr>
    </w:p>
    <w:p w14:paraId="58F40326" w14:textId="77777777" w:rsidR="002279D2" w:rsidRDefault="002279D2">
      <w:pPr>
        <w:pStyle w:val="BodyText"/>
        <w:rPr>
          <w:b/>
          <w:sz w:val="14"/>
        </w:rPr>
      </w:pPr>
    </w:p>
    <w:p w14:paraId="24299C6D" w14:textId="77777777" w:rsidR="002279D2" w:rsidRDefault="00837DED">
      <w:pPr>
        <w:spacing w:before="93"/>
        <w:ind w:left="2386" w:right="2349"/>
        <w:jc w:val="center"/>
        <w:rPr>
          <w:i/>
        </w:rPr>
      </w:pPr>
      <w:r>
        <w:rPr>
          <w:i/>
        </w:rPr>
        <w:t>DHHS</w:t>
      </w:r>
      <w:r>
        <w:rPr>
          <w:i/>
          <w:spacing w:val="-2"/>
        </w:rPr>
        <w:t xml:space="preserve"> </w:t>
      </w:r>
      <w:r>
        <w:rPr>
          <w:i/>
        </w:rPr>
        <w:t>and</w:t>
      </w:r>
      <w:r>
        <w:rPr>
          <w:i/>
          <w:spacing w:val="-1"/>
        </w:rPr>
        <w:t xml:space="preserve"> </w:t>
      </w:r>
      <w:r>
        <w:rPr>
          <w:i/>
        </w:rPr>
        <w:t>NIH</w:t>
      </w:r>
      <w:r>
        <w:rPr>
          <w:i/>
          <w:spacing w:val="-1"/>
        </w:rPr>
        <w:t xml:space="preserve"> </w:t>
      </w:r>
      <w:r>
        <w:rPr>
          <w:i/>
        </w:rPr>
        <w:t>are</w:t>
      </w:r>
      <w:r>
        <w:rPr>
          <w:i/>
          <w:spacing w:val="-2"/>
        </w:rPr>
        <w:t xml:space="preserve"> </w:t>
      </w:r>
      <w:r>
        <w:rPr>
          <w:i/>
        </w:rPr>
        <w:t>Equal</w:t>
      </w:r>
      <w:r>
        <w:rPr>
          <w:i/>
          <w:spacing w:val="-1"/>
        </w:rPr>
        <w:t xml:space="preserve"> </w:t>
      </w:r>
      <w:r>
        <w:rPr>
          <w:i/>
        </w:rPr>
        <w:t>Opportunity</w:t>
      </w:r>
      <w:r>
        <w:rPr>
          <w:i/>
          <w:spacing w:val="-2"/>
        </w:rPr>
        <w:t xml:space="preserve"> </w:t>
      </w:r>
      <w:r>
        <w:rPr>
          <w:i/>
        </w:rPr>
        <w:t>Employers</w:t>
      </w:r>
    </w:p>
    <w:sectPr w:rsidR="002279D2">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D2"/>
    <w:rsid w:val="0001334D"/>
    <w:rsid w:val="00194E50"/>
    <w:rsid w:val="002279D2"/>
    <w:rsid w:val="00440139"/>
    <w:rsid w:val="0046073B"/>
    <w:rsid w:val="004C667E"/>
    <w:rsid w:val="006B3D79"/>
    <w:rsid w:val="00837DED"/>
    <w:rsid w:val="00945C6C"/>
    <w:rsid w:val="009C5555"/>
    <w:rsid w:val="009E67FF"/>
    <w:rsid w:val="00BC0981"/>
    <w:rsid w:val="00EE0F4B"/>
    <w:rsid w:val="00F02E67"/>
    <w:rsid w:val="00FC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6685"/>
  <w15:docId w15:val="{9F3FCFA5-356C-944A-8A43-99F0DBB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6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98"/>
    <w:rPr>
      <w:rFonts w:ascii="Segoe UI" w:eastAsia="Arial" w:hAnsi="Segoe UI" w:cs="Segoe UI"/>
      <w:sz w:val="18"/>
      <w:szCs w:val="18"/>
    </w:rPr>
  </w:style>
  <w:style w:type="character" w:styleId="Hyperlink">
    <w:name w:val="Hyperlink"/>
    <w:basedOn w:val="DefaultParagraphFont"/>
    <w:uiPriority w:val="99"/>
    <w:unhideWhenUsed/>
    <w:rsid w:val="0001334D"/>
    <w:rPr>
      <w:color w:val="0000FF" w:themeColor="hyperlink"/>
      <w:u w:val="single"/>
    </w:rPr>
  </w:style>
  <w:style w:type="character" w:styleId="UnresolvedMention">
    <w:name w:val="Unresolved Mention"/>
    <w:basedOn w:val="DefaultParagraphFont"/>
    <w:uiPriority w:val="99"/>
    <w:semiHidden/>
    <w:unhideWhenUsed/>
    <w:rsid w:val="0001334D"/>
    <w:rPr>
      <w:color w:val="605E5C"/>
      <w:shd w:val="clear" w:color="auto" w:fill="E1DFDD"/>
    </w:rPr>
  </w:style>
  <w:style w:type="character" w:styleId="FollowedHyperlink">
    <w:name w:val="FollowedHyperlink"/>
    <w:basedOn w:val="DefaultParagraphFont"/>
    <w:uiPriority w:val="99"/>
    <w:semiHidden/>
    <w:unhideWhenUsed/>
    <w:rsid w:val="00013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nrrecruitment@mail.ni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nrrecruitment@mail.nih.gov." TargetMode="External"/><Relationship Id="rId5" Type="http://schemas.openxmlformats.org/officeDocument/2006/relationships/hyperlink" Target="https://ethics.od.nih.gov/sites/default/files/topics/COI-Fact-Sheet.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Susan (NIH) [E]</dc:creator>
  <cp:lastModifiedBy>Ellie Cook</cp:lastModifiedBy>
  <cp:revision>2</cp:revision>
  <dcterms:created xsi:type="dcterms:W3CDTF">2021-06-23T16:44:00Z</dcterms:created>
  <dcterms:modified xsi:type="dcterms:W3CDTF">2021-06-23T16:44:00Z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Acrobat PDFMaker 21 for Word</vt:lpwstr>
  </property>
  <property fmtid="{D5CDD505-2E9C-101B-9397-08002B2CF9AE}" pid="4" name="LastSaved">
    <vt:filetime>2021-04-04T00:00:00Z</vt:filetime>
  </property>
</Properties>
</file>